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仿宋_GB2312" w:hAnsi="方正仿宋_GB2312" w:eastAsia="方正仿宋_GB2312" w:cs="方正仿宋_GB2312"/>
          <w:color w:val="auto"/>
          <w:sz w:val="36"/>
          <w:szCs w:val="36"/>
          <w:highlight w:val="none"/>
        </w:rPr>
      </w:pPr>
    </w:p>
    <w:p>
      <w:pPr>
        <w:rPr>
          <w:rFonts w:ascii="方正仿宋_GB2312" w:hAnsi="方正仿宋_GB2312" w:eastAsia="方正仿宋_GB2312" w:cs="方正仿宋_GB2312"/>
          <w:color w:val="auto"/>
          <w:sz w:val="36"/>
          <w:szCs w:val="36"/>
          <w:highlight w:val="none"/>
        </w:rPr>
      </w:pPr>
    </w:p>
    <w:p>
      <w:pPr>
        <w:rPr>
          <w:rFonts w:ascii="方正仿宋_GB2312" w:hAnsi="方正仿宋_GB2312" w:eastAsia="方正仿宋_GB2312" w:cs="方正仿宋_GB2312"/>
          <w:color w:val="auto"/>
          <w:sz w:val="36"/>
          <w:szCs w:val="36"/>
          <w:highlight w:val="none"/>
        </w:rPr>
      </w:pPr>
    </w:p>
    <w:p>
      <w:pPr>
        <w:rPr>
          <w:rFonts w:ascii="方正仿宋_GB2312" w:hAnsi="方正仿宋_GB2312" w:eastAsia="方正仿宋_GB2312" w:cs="方正仿宋_GB2312"/>
          <w:color w:val="auto"/>
          <w:sz w:val="36"/>
          <w:szCs w:val="36"/>
          <w:highlight w:val="none"/>
        </w:rPr>
      </w:pPr>
    </w:p>
    <w:p>
      <w:pPr>
        <w:pStyle w:val="34"/>
        <w:bidi w:val="0"/>
        <w:rPr>
          <w:rFonts w:hint="eastAsia"/>
          <w:color w:val="auto"/>
          <w:highlight w:val="none"/>
        </w:rPr>
      </w:pPr>
      <w:r>
        <w:rPr>
          <w:rFonts w:hint="eastAsia"/>
          <w:color w:val="auto"/>
          <w:highlight w:val="none"/>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pStyle w:val="12"/>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keepNext w:val="0"/>
        <w:keepLines w:val="0"/>
        <w:pageBreakBefore w:val="0"/>
        <w:widowControl w:val="0"/>
        <w:kinsoku/>
        <w:wordWrap w:val="0"/>
        <w:overflowPunct/>
        <w:topLinePunct/>
        <w:autoSpaceDE/>
        <w:autoSpaceDN/>
        <w:bidi w:val="0"/>
        <w:adjustRightInd w:val="0"/>
        <w:snapToGrid w:val="0"/>
        <w:spacing w:line="288" w:lineRule="auto"/>
        <w:ind w:firstLine="360" w:firstLineChars="100"/>
        <w:jc w:val="both"/>
        <w:textAlignment w:val="auto"/>
        <w:rPr>
          <w:rFonts w:hint="eastAsia" w:ascii="方正仿宋_GB2312" w:eastAsia="方正仿宋_GB2312"/>
          <w:color w:val="auto"/>
          <w:sz w:val="36"/>
          <w:szCs w:val="36"/>
          <w:highlight w:val="none"/>
          <w:u w:val="none"/>
          <w:lang w:val="en-US" w:eastAsia="zh-CN"/>
        </w:rPr>
      </w:pPr>
    </w:p>
    <w:p>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lang w:val="en-US" w:eastAsia="zh-CN"/>
        </w:rPr>
      </w:pPr>
    </w:p>
    <w:p>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vertAlign w:val="baseline"/>
        </w:rPr>
      </w:pPr>
      <w:r>
        <w:rPr>
          <w:rFonts w:hint="eastAsia" w:ascii="方正仿宋_GB2312" w:eastAsia="方正仿宋_GB2312"/>
          <w:color w:val="auto"/>
          <w:sz w:val="36"/>
          <w:szCs w:val="36"/>
          <w:highlight w:val="none"/>
          <w:u w:val="none"/>
          <w:lang w:val="en-US" w:eastAsia="zh-CN"/>
        </w:rPr>
        <w:t xml:space="preserve">    </w:t>
      </w: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720" w:firstLineChars="200"/>
              <w:jc w:val="left"/>
              <w:textAlignment w:val="auto"/>
              <w:rPr>
                <w:rFonts w:hint="eastAsia" w:ascii="方正仿宋_GB2312" w:eastAsia="方正仿宋_GB2312"/>
                <w:color w:val="auto"/>
                <w:sz w:val="36"/>
                <w:szCs w:val="36"/>
                <w:highlight w:val="none"/>
                <w:u w:val="single"/>
                <w:lang w:val="en-US" w:eastAsia="zh-CN"/>
              </w:rPr>
            </w:pPr>
            <w:r>
              <w:rPr>
                <w:rFonts w:hint="eastAsia" w:ascii="方正仿宋_GB2312" w:eastAsia="方正仿宋_GB2312"/>
                <w:color w:val="auto"/>
                <w:sz w:val="36"/>
                <w:szCs w:val="36"/>
                <w:highlight w:val="none"/>
                <w:u w:val="none"/>
              </w:rPr>
              <w:t>项目名称：</w:t>
            </w:r>
            <w:r>
              <w:rPr>
                <w:rFonts w:hint="eastAsia" w:ascii="方正仿宋_GB2312" w:eastAsia="方正仿宋_GB2312"/>
                <w:color w:val="auto"/>
                <w:sz w:val="36"/>
                <w:szCs w:val="36"/>
                <w:highlight w:val="none"/>
                <w:u w:val="single"/>
                <w:lang w:val="en-US" w:eastAsia="zh-CN"/>
              </w:rPr>
              <w:t>年产八万套石墨烯电发热元件技改及</w:t>
            </w:r>
          </w:p>
          <w:p>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2520" w:firstLineChars="7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single"/>
                <w:lang w:val="en-US" w:eastAsia="zh-CN"/>
              </w:rPr>
              <w:t>年产五万台节能速热电锅炉建设项目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720" w:firstLineChars="2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none"/>
              </w:rPr>
              <w:t>建设</w:t>
            </w:r>
            <w:r>
              <w:rPr>
                <w:rFonts w:hint="eastAsia" w:ascii="方正仿宋_GB2312" w:eastAsia="方正仿宋_GB2312"/>
                <w:color w:val="auto"/>
                <w:spacing w:val="6"/>
                <w:sz w:val="36"/>
                <w:szCs w:val="36"/>
                <w:highlight w:val="none"/>
                <w:u w:val="none"/>
              </w:rPr>
              <w:t>单位</w:t>
            </w:r>
            <w:r>
              <w:rPr>
                <w:rFonts w:hint="eastAsia" w:ascii="方正仿宋_GB2312" w:eastAsia="方正仿宋_GB2312"/>
                <w:color w:val="auto"/>
                <w:sz w:val="36"/>
                <w:szCs w:val="36"/>
                <w:highlight w:val="none"/>
                <w:u w:val="none"/>
              </w:rPr>
              <w:t>（</w:t>
            </w:r>
            <w:r>
              <w:rPr>
                <w:rFonts w:hint="eastAsia" w:ascii="方正仿宋_GB2312" w:eastAsia="方正仿宋_GB2312"/>
                <w:color w:val="auto"/>
                <w:spacing w:val="6"/>
                <w:sz w:val="36"/>
                <w:szCs w:val="36"/>
                <w:highlight w:val="none"/>
                <w:u w:val="none"/>
              </w:rPr>
              <w:t>盖章</w:t>
            </w:r>
            <w:r>
              <w:rPr>
                <w:rFonts w:hint="eastAsia" w:ascii="方正仿宋_GB2312" w:eastAsia="方正仿宋_GB2312"/>
                <w:color w:val="auto"/>
                <w:sz w:val="36"/>
                <w:szCs w:val="36"/>
                <w:highlight w:val="none"/>
                <w:u w:val="none"/>
              </w:rPr>
              <w:t>）：</w:t>
            </w:r>
            <w:r>
              <w:rPr>
                <w:rFonts w:hint="eastAsia" w:ascii="方正仿宋_GB2312" w:eastAsia="方正仿宋_GB2312"/>
                <w:color w:val="auto"/>
                <w:spacing w:val="6"/>
                <w:sz w:val="36"/>
                <w:szCs w:val="36"/>
                <w:highlight w:val="none"/>
                <w:u w:val="single"/>
                <w:lang w:val="en-US" w:eastAsia="zh-CN"/>
              </w:rPr>
              <w:t xml:space="preserve"> 唐山烯彤科技有限公司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720" w:firstLineChars="2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none"/>
              </w:rPr>
              <w:t>编制日期：</w:t>
            </w:r>
            <w:r>
              <w:rPr>
                <w:rFonts w:hint="eastAsia" w:ascii="方正仿宋_GB2312" w:eastAsia="方正仿宋_GB2312"/>
                <w:color w:val="auto"/>
                <w:sz w:val="36"/>
                <w:szCs w:val="36"/>
                <w:highlight w:val="none"/>
                <w:u w:val="single"/>
              </w:rPr>
              <w:t xml:space="preserve"> </w:t>
            </w:r>
            <w:r>
              <w:rPr>
                <w:rFonts w:ascii="方正仿宋_GB2312" w:eastAsia="方正仿宋_GB2312"/>
                <w:color w:val="auto"/>
                <w:sz w:val="36"/>
                <w:szCs w:val="36"/>
                <w:highlight w:val="none"/>
                <w:u w:val="single"/>
              </w:rPr>
              <w:t xml:space="preserve"> </w:t>
            </w:r>
            <w:r>
              <w:rPr>
                <w:rFonts w:hint="eastAsia" w:ascii="方正仿宋_GB2312" w:eastAsia="方正仿宋_GB2312"/>
                <w:color w:val="auto"/>
                <w:sz w:val="36"/>
                <w:szCs w:val="36"/>
                <w:highlight w:val="none"/>
                <w:u w:val="single"/>
                <w:lang w:val="en-US" w:eastAsia="zh-CN"/>
              </w:rPr>
              <w:t xml:space="preserve">          </w:t>
            </w:r>
            <w:r>
              <w:rPr>
                <w:rFonts w:hint="eastAsia" w:ascii="方正仿宋_GB2312" w:eastAsia="方正仿宋_GB2312"/>
                <w:color w:val="auto"/>
                <w:spacing w:val="-6"/>
                <w:sz w:val="36"/>
                <w:szCs w:val="36"/>
                <w:highlight w:val="none"/>
                <w:u w:val="single"/>
                <w:lang w:val="en-US" w:eastAsia="zh-CN"/>
              </w:rPr>
              <w:t>2023年07月</w:t>
            </w:r>
            <w:r>
              <w:rPr>
                <w:rFonts w:hint="eastAsia" w:ascii="方正仿宋_GB2312" w:eastAsia="方正仿宋_GB2312"/>
                <w:color w:val="auto"/>
                <w:sz w:val="36"/>
                <w:szCs w:val="36"/>
                <w:highlight w:val="none"/>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0" w:leftChars="0" w:firstLine="360" w:firstLineChars="100"/>
              <w:jc w:val="left"/>
              <w:textAlignment w:val="auto"/>
              <w:rPr>
                <w:rFonts w:hint="eastAsia" w:ascii="方正仿宋_GB2312" w:eastAsia="方正仿宋_GB2312"/>
                <w:color w:val="auto"/>
                <w:sz w:val="36"/>
                <w:szCs w:val="36"/>
                <w:highlight w:val="none"/>
                <w:u w:val="none"/>
              </w:rPr>
            </w:pPr>
            <w:bookmarkStart w:id="0" w:name="_Hlk57884087"/>
          </w:p>
        </w:tc>
      </w:tr>
    </w:tbl>
    <w:p>
      <w:pPr>
        <w:adjustRightInd w:val="0"/>
        <w:snapToGrid w:val="0"/>
        <w:spacing w:line="288" w:lineRule="auto"/>
        <w:ind w:firstLine="1040"/>
        <w:rPr>
          <w:rFonts w:ascii="方正仿宋_GB2312" w:eastAsia="方正仿宋_GB2312"/>
          <w:color w:val="auto"/>
          <w:sz w:val="36"/>
          <w:szCs w:val="36"/>
          <w:highlight w:val="none"/>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方正楷体_GB2312" w:eastAsia="方正楷体_GB2312"/>
          <w:color w:val="auto"/>
          <w:sz w:val="36"/>
          <w:szCs w:val="36"/>
          <w:highlight w:val="none"/>
        </w:rPr>
      </w:pPr>
      <w:r>
        <w:rPr>
          <w:rFonts w:hint="eastAsia" w:ascii="方正楷体_GB2312" w:eastAsia="方正楷体_GB2312"/>
          <w:color w:val="auto"/>
          <w:sz w:val="36"/>
          <w:szCs w:val="36"/>
          <w:highlight w:val="none"/>
        </w:rPr>
        <w:t>中华人民共和国生态环境部制</w:t>
      </w:r>
    </w:p>
    <w:p>
      <w:pPr>
        <w:adjustRightInd w:val="0"/>
        <w:snapToGrid w:val="0"/>
        <w:spacing w:line="288" w:lineRule="auto"/>
        <w:jc w:val="center"/>
        <w:rPr>
          <w:rFonts w:ascii="方正仿宋_GB2312" w:eastAsia="方正仿宋_GB2312"/>
          <w:color w:val="auto"/>
          <w:sz w:val="36"/>
          <w:szCs w:val="36"/>
          <w:highlight w:val="none"/>
        </w:rPr>
        <w:sectPr>
          <w:footerReference r:id="rId5" w:type="default"/>
          <w:footerReference r:id="rId6" w:type="even"/>
          <w:pgSz w:w="11906" w:h="16838"/>
          <w:pgMar w:top="1417" w:right="1247" w:bottom="1417"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方正仿宋_GB2312" w:eastAsia="方正仿宋_GB2312"/>
          <w:color w:val="auto"/>
          <w:sz w:val="36"/>
          <w:szCs w:val="36"/>
          <w:highlight w:val="none"/>
        </w:rPr>
        <w:br w:type="page"/>
      </w:r>
    </w:p>
    <w:p>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sdt>
      <w:sdtPr>
        <w:rPr>
          <w:rFonts w:ascii="宋体" w:hAnsi="宋体" w:eastAsia="宋体" w:cs="Times New Roman"/>
          <w:color w:val="auto"/>
          <w:kern w:val="2"/>
          <w:sz w:val="21"/>
          <w:szCs w:val="24"/>
          <w:lang w:val="en-US" w:eastAsia="zh-CN" w:bidi="ar-SA"/>
        </w:rPr>
        <w:id w:val="147461741"/>
        <w15:color w:val="DBDBDB"/>
        <w:docPartObj>
          <w:docPartGallery w:val="Table of Contents"/>
          <w:docPartUnique/>
        </w:docPartObj>
      </w:sdtPr>
      <w:sdtEndPr>
        <w:rPr>
          <w:rFonts w:ascii="宋体" w:hAnsi="宋体"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4"/>
              <w:szCs w:val="24"/>
            </w:rPr>
          </w:pPr>
          <w:bookmarkStart w:id="12" w:name="_GoBack"/>
          <w:bookmarkEnd w:id="12"/>
          <w:r>
            <w:rPr>
              <w:rFonts w:hint="default" w:ascii="Times New Roman" w:hAnsi="Times New Roman" w:eastAsia="宋体" w:cs="Times New Roman"/>
              <w:color w:val="auto"/>
              <w:sz w:val="32"/>
              <w:szCs w:val="32"/>
            </w:rPr>
            <w:t>目录</w:t>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_Toc10302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rPr>
            <w:t>一、建设项目基本情况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_Toc10302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_Toc15867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rPr>
            <w:t>二、建设项目工程分析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_Toc15867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_Toc31686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rPr>
            <w:t>三、区域环境质量现状、环境保护目标及评价标准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_Toc31686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_Toc1102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rPr>
            <w:t>四、主要环境影响和保护措施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_Toc1102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_Toc10289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rPr>
            <w:t>五、环境保护措施监督检查清单</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_Toc10289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76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_Toc14984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0"/>
              <w:highlight w:val="none"/>
              <w:lang w:val="en-US" w:eastAsia="zh-CN"/>
            </w:rPr>
            <w:t>六、结论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_Toc14984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_Toc9780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snapToGrid w:val="0"/>
              <w:color w:val="auto"/>
              <w:szCs w:val="32"/>
              <w:highlight w:val="none"/>
            </w:rPr>
            <w:t>附表</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_Toc9780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szCs w:val="24"/>
            </w:rPr>
            <w:fldChar w:fldCharType="end"/>
          </w:r>
        </w:p>
        <w:p>
          <w:pPr>
            <w:pStyle w:val="17"/>
            <w:tabs>
              <w:tab w:val="right" w:leader="dot" w:pos="9242"/>
            </w:tabs>
            <w:rPr>
              <w:color w:val="auto"/>
            </w:rPr>
          </w:pPr>
        </w:p>
        <w:p>
          <w:pPr>
            <w:keepNext w:val="0"/>
            <w:keepLines w:val="0"/>
            <w:pageBreakBefore w:val="0"/>
            <w:widowControl/>
            <w:kinsoku/>
            <w:wordWrap/>
            <w:overflowPunct/>
            <w:topLinePunct w:val="0"/>
            <w:autoSpaceDE/>
            <w:autoSpaceDN/>
            <w:bidi w:val="0"/>
            <w:adjustRightInd/>
            <w:snapToGrid/>
            <w:spacing w:line="480" w:lineRule="exact"/>
            <w:textAlignment w:val="auto"/>
            <w:rPr>
              <w:color w:val="auto"/>
            </w:rPr>
          </w:pPr>
          <w:r>
            <w:rPr>
              <w:rFonts w:hint="default" w:ascii="Times New Roman" w:hAnsi="Times New Roman" w:eastAsia="宋体" w:cs="Times New Roman"/>
              <w:color w:val="auto"/>
              <w:szCs w:val="24"/>
            </w:rPr>
            <w:fldChar w:fldCharType="end"/>
          </w:r>
        </w:p>
      </w:sdtContent>
    </w:sdt>
    <w:p>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footerReference r:id="rId7"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snapToGrid w:val="0"/>
          <w:color w:val="auto"/>
          <w:sz w:val="30"/>
          <w:szCs w:val="30"/>
          <w:highlight w:val="none"/>
        </w:rPr>
      </w:pPr>
      <w:bookmarkStart w:id="1" w:name="_Toc10302"/>
      <w:r>
        <w:rPr>
          <w:rFonts w:hint="eastAsia" w:ascii="黑体" w:hAnsi="黑体" w:eastAsia="黑体"/>
          <w:snapToGrid w:val="0"/>
          <w:color w:val="auto"/>
          <w:sz w:val="30"/>
          <w:szCs w:val="30"/>
          <w:highlight w:val="none"/>
        </w:rPr>
        <w:t>一、建设项目基本情况</w:t>
      </w:r>
      <w:bookmarkEnd w:id="1"/>
    </w:p>
    <w:tbl>
      <w:tblPr>
        <w:tblStyle w:val="24"/>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2"/>
        <w:gridCol w:w="1979"/>
        <w:gridCol w:w="2236"/>
        <w:gridCol w:w="3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建设项目名称</w:t>
            </w:r>
          </w:p>
        </w:tc>
        <w:tc>
          <w:tcPr>
            <w:tcW w:w="7632" w:type="dxa"/>
            <w:gridSpan w:val="3"/>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shd w:val="clear"/>
                <w:lang w:val="en-US" w:eastAsia="zh-CN"/>
              </w:rPr>
              <w:t>年产八万套石墨烯电发热元件技改及年产五万台节能速热电锅炉建设项目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项目代码</w:t>
            </w:r>
          </w:p>
        </w:tc>
        <w:tc>
          <w:tcPr>
            <w:tcW w:w="7632" w:type="dxa"/>
            <w:gridSpan w:val="3"/>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2306-130273-89-02-899657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1722" w:type="dxa"/>
            <w:noWrap w:val="0"/>
            <w:tcMar>
              <w:top w:w="16" w:type="dxa"/>
              <w:left w:w="16" w:type="dxa"/>
              <w:right w:w="16" w:type="dxa"/>
            </w:tcMar>
            <w:vAlign w:val="center"/>
          </w:tcPr>
          <w:p>
            <w:pPr>
              <w:pStyle w:val="32"/>
              <w:bidi w:val="0"/>
              <w:rPr>
                <w:rFonts w:hint="eastAsia"/>
                <w:color w:val="auto"/>
                <w:sz w:val="24"/>
                <w:szCs w:val="24"/>
                <w:highlight w:val="none"/>
              </w:rPr>
            </w:pPr>
            <w:r>
              <w:rPr>
                <w:rFonts w:hint="eastAsia"/>
                <w:color w:val="auto"/>
                <w:sz w:val="24"/>
                <w:szCs w:val="24"/>
                <w:highlight w:val="none"/>
              </w:rPr>
              <w:t>建设单位联系人</w:t>
            </w:r>
          </w:p>
        </w:tc>
        <w:tc>
          <w:tcPr>
            <w:tcW w:w="1979"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常宗图</w:t>
            </w:r>
          </w:p>
        </w:tc>
        <w:tc>
          <w:tcPr>
            <w:tcW w:w="2236" w:type="dxa"/>
            <w:noWrap w:val="0"/>
            <w:vAlign w:val="center"/>
          </w:tcPr>
          <w:p>
            <w:pPr>
              <w:pStyle w:val="32"/>
              <w:bidi w:val="0"/>
              <w:rPr>
                <w:color w:val="auto"/>
                <w:sz w:val="24"/>
                <w:szCs w:val="24"/>
                <w:highlight w:val="none"/>
              </w:rPr>
            </w:pPr>
            <w:r>
              <w:rPr>
                <w:rFonts w:hint="eastAsia"/>
                <w:color w:val="auto"/>
                <w:sz w:val="24"/>
                <w:szCs w:val="24"/>
                <w:highlight w:val="none"/>
              </w:rPr>
              <w:t>联系方式</w:t>
            </w:r>
          </w:p>
        </w:tc>
        <w:tc>
          <w:tcPr>
            <w:tcW w:w="3417" w:type="dxa"/>
            <w:noWrap w:val="0"/>
            <w:vAlign w:val="center"/>
          </w:tcPr>
          <w:p>
            <w:pPr>
              <w:pStyle w:val="32"/>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18633119957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建设地点</w:t>
            </w:r>
          </w:p>
        </w:tc>
        <w:tc>
          <w:tcPr>
            <w:tcW w:w="7632" w:type="dxa"/>
            <w:gridSpan w:val="3"/>
            <w:noWrap w:val="0"/>
            <w:vAlign w:val="center"/>
          </w:tcPr>
          <w:p>
            <w:pPr>
              <w:pStyle w:val="32"/>
              <w:bidi w:val="0"/>
              <w:rPr>
                <w:rFonts w:hint="default"/>
                <w:color w:val="auto"/>
                <w:sz w:val="24"/>
                <w:szCs w:val="24"/>
                <w:highlight w:val="none"/>
                <w:lang w:val="en-US"/>
              </w:rPr>
            </w:pPr>
            <w:r>
              <w:rPr>
                <w:rFonts w:hint="eastAsia"/>
                <w:color w:val="auto"/>
                <w:sz w:val="24"/>
                <w:szCs w:val="24"/>
                <w:highlight w:val="none"/>
                <w:lang w:val="en-US" w:eastAsia="zh-CN"/>
              </w:rPr>
              <w:t>唐山市高新区学院北路1718-1号，唐山烯彤科技有限公司院内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地理坐标</w:t>
            </w:r>
          </w:p>
        </w:tc>
        <w:tc>
          <w:tcPr>
            <w:tcW w:w="7632" w:type="dxa"/>
            <w:gridSpan w:val="3"/>
            <w:noWrap w:val="0"/>
            <w:vAlign w:val="center"/>
          </w:tcPr>
          <w:p>
            <w:pPr>
              <w:pStyle w:val="32"/>
              <w:bidi w:val="0"/>
              <w:rPr>
                <w:rFonts w:hint="eastAsia" w:eastAsia="宋体"/>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东经：118°08'52.641"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39°42'19.603"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7" w:hRule="atLeast"/>
          <w:jc w:val="center"/>
        </w:trPr>
        <w:tc>
          <w:tcPr>
            <w:tcW w:w="1722" w:type="dxa"/>
            <w:noWrap w:val="0"/>
            <w:tcMar>
              <w:top w:w="16" w:type="dxa"/>
              <w:left w:w="16" w:type="dxa"/>
              <w:right w:w="16" w:type="dxa"/>
            </w:tcMar>
            <w:vAlign w:val="center"/>
          </w:tcPr>
          <w:p>
            <w:pPr>
              <w:pStyle w:val="32"/>
              <w:bidi w:val="0"/>
              <w:rPr>
                <w:rFonts w:hint="eastAsia"/>
                <w:color w:val="auto"/>
                <w:sz w:val="24"/>
                <w:szCs w:val="24"/>
                <w:highlight w:val="none"/>
              </w:rPr>
            </w:pPr>
            <w:r>
              <w:rPr>
                <w:rFonts w:hint="eastAsia"/>
                <w:color w:val="auto"/>
                <w:sz w:val="24"/>
                <w:szCs w:val="24"/>
                <w:highlight w:val="none"/>
              </w:rPr>
              <w:t>国民经济</w:t>
            </w:r>
          </w:p>
          <w:p>
            <w:pPr>
              <w:pStyle w:val="32"/>
              <w:bidi w:val="0"/>
              <w:rPr>
                <w:color w:val="auto"/>
                <w:sz w:val="24"/>
                <w:szCs w:val="24"/>
                <w:highlight w:val="none"/>
              </w:rPr>
            </w:pPr>
            <w:r>
              <w:rPr>
                <w:rFonts w:hint="eastAsia"/>
                <w:color w:val="auto"/>
                <w:sz w:val="24"/>
                <w:szCs w:val="24"/>
                <w:highlight w:val="none"/>
              </w:rPr>
              <w:t>行业类别</w:t>
            </w:r>
          </w:p>
        </w:tc>
        <w:tc>
          <w:tcPr>
            <w:tcW w:w="19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color w:val="auto"/>
                <w:highlight w:val="none"/>
                <w:lang w:val="en-US" w:eastAsia="zh-CN"/>
              </w:rPr>
              <w:t>C3859其他家用电力器具制造</w:t>
            </w:r>
          </w:p>
        </w:tc>
        <w:tc>
          <w:tcPr>
            <w:tcW w:w="2236" w:type="dxa"/>
            <w:noWrap w:val="0"/>
            <w:vAlign w:val="center"/>
          </w:tcPr>
          <w:p>
            <w:pPr>
              <w:pStyle w:val="32"/>
              <w:bidi w:val="0"/>
              <w:rPr>
                <w:rFonts w:hint="default" w:ascii="Times New Roman" w:hAnsi="Times New Roman" w:cs="Times New Roman"/>
                <w:color w:val="auto"/>
                <w:sz w:val="24"/>
                <w:szCs w:val="24"/>
                <w:highlight w:val="none"/>
              </w:rPr>
            </w:pPr>
            <w:bookmarkStart w:id="2" w:name="_Hlk49843745"/>
            <w:r>
              <w:rPr>
                <w:rFonts w:hint="default" w:ascii="Times New Roman" w:hAnsi="Times New Roman" w:cs="Times New Roman"/>
                <w:color w:val="auto"/>
                <w:sz w:val="24"/>
                <w:szCs w:val="24"/>
                <w:highlight w:val="none"/>
              </w:rPr>
              <w:t>建设项目</w:t>
            </w:r>
          </w:p>
          <w:p>
            <w:pPr>
              <w:pStyle w:val="32"/>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
          </w:p>
        </w:tc>
        <w:tc>
          <w:tcPr>
            <w:tcW w:w="341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highlight w:val="none"/>
                <w:lang w:val="en-US" w:eastAsia="zh-CN"/>
              </w:rPr>
            </w:pPr>
            <w:r>
              <w:rPr>
                <w:rFonts w:hint="eastAsia"/>
                <w:color w:val="auto"/>
                <w:sz w:val="24"/>
                <w:szCs w:val="24"/>
                <w:highlight w:val="none"/>
                <w:lang w:val="en-US" w:eastAsia="zh-CN"/>
              </w:rPr>
              <w:t>三十五、电气机械和器材制造业38-77.家用电力器具制造385-其他（仅分割、焊接、组装的除外；年用非溶剂型低VOCs含量涂料10吨以下的除外）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65" w:hRule="atLeast"/>
          <w:jc w:val="center"/>
        </w:trPr>
        <w:tc>
          <w:tcPr>
            <w:tcW w:w="1722" w:type="dxa"/>
            <w:noWrap w:val="0"/>
            <w:tcMar>
              <w:top w:w="16" w:type="dxa"/>
              <w:left w:w="16" w:type="dxa"/>
              <w:right w:w="16" w:type="dxa"/>
            </w:tcMar>
            <w:vAlign w:val="center"/>
          </w:tcPr>
          <w:p>
            <w:pPr>
              <w:pStyle w:val="32"/>
              <w:bidi w:val="0"/>
              <w:rPr>
                <w:b w:val="0"/>
                <w:bCs w:val="0"/>
                <w:color w:val="auto"/>
                <w:sz w:val="24"/>
                <w:szCs w:val="24"/>
                <w:highlight w:val="none"/>
              </w:rPr>
            </w:pPr>
            <w:r>
              <w:rPr>
                <w:rFonts w:hint="eastAsia"/>
                <w:b w:val="0"/>
                <w:bCs w:val="0"/>
                <w:color w:val="auto"/>
                <w:sz w:val="24"/>
                <w:szCs w:val="24"/>
                <w:highlight w:val="none"/>
              </w:rPr>
              <w:t>建设性质</w:t>
            </w:r>
          </w:p>
        </w:tc>
        <w:tc>
          <w:tcPr>
            <w:tcW w:w="197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ascii="宋体" w:hAnsi="宋体" w:eastAsia="宋体" w:cs="宋体"/>
                <w:b w:val="0"/>
                <w:bCs w:val="0"/>
                <w:color w:val="auto"/>
                <w:sz w:val="24"/>
                <w:szCs w:val="24"/>
                <w:highlight w:val="none"/>
              </w:rPr>
              <w:sym w:font="Wingdings" w:char="00A8"/>
            </w:r>
            <w:r>
              <w:rPr>
                <w:rFonts w:hint="eastAsia"/>
                <w:b w:val="0"/>
                <w:bCs w:val="0"/>
                <w:color w:val="auto"/>
                <w:sz w:val="24"/>
                <w:szCs w:val="24"/>
                <w:highlight w:val="none"/>
              </w:rPr>
              <w:t>新建（迁建）</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改建</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扩建</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技术改造</w:t>
            </w:r>
          </w:p>
        </w:tc>
        <w:tc>
          <w:tcPr>
            <w:tcW w:w="2236"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b w:val="0"/>
                <w:bCs w:val="0"/>
                <w:color w:val="auto"/>
                <w:sz w:val="24"/>
                <w:szCs w:val="24"/>
                <w:highlight w:val="none"/>
              </w:rPr>
            </w:pPr>
            <w:r>
              <w:rPr>
                <w:rFonts w:hint="eastAsia"/>
                <w:b w:val="0"/>
                <w:bCs w:val="0"/>
                <w:color w:val="auto"/>
                <w:sz w:val="24"/>
                <w:szCs w:val="24"/>
                <w:highlight w:val="none"/>
              </w:rPr>
              <w:t>建设项目</w:t>
            </w:r>
          </w:p>
          <w:p>
            <w:pPr>
              <w:pStyle w:val="32"/>
              <w:keepNext w:val="0"/>
              <w:keepLines w:val="0"/>
              <w:pageBreakBefore w:val="0"/>
              <w:widowControl w:val="0"/>
              <w:kinsoku/>
              <w:wordWrap/>
              <w:overflowPunct/>
              <w:topLinePunct w:val="0"/>
              <w:autoSpaceDE/>
              <w:autoSpaceDN/>
              <w:bidi w:val="0"/>
              <w:adjustRightInd/>
              <w:snapToGrid/>
              <w:spacing w:before="0" w:after="0"/>
              <w:textAlignment w:val="auto"/>
              <w:rPr>
                <w:b w:val="0"/>
                <w:bCs w:val="0"/>
                <w:color w:val="auto"/>
                <w:sz w:val="24"/>
                <w:szCs w:val="24"/>
                <w:highlight w:val="none"/>
              </w:rPr>
            </w:pPr>
            <w:r>
              <w:rPr>
                <w:rFonts w:hint="eastAsia"/>
                <w:b w:val="0"/>
                <w:bCs w:val="0"/>
                <w:color w:val="auto"/>
                <w:sz w:val="24"/>
                <w:szCs w:val="24"/>
                <w:highlight w:val="none"/>
              </w:rPr>
              <w:t>申报情形</w:t>
            </w:r>
          </w:p>
        </w:tc>
        <w:tc>
          <w:tcPr>
            <w:tcW w:w="3417"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sym w:font="Wingdings" w:char="00FE"/>
            </w:r>
            <w:r>
              <w:rPr>
                <w:rFonts w:hint="eastAsia"/>
                <w:b w:val="0"/>
                <w:bCs w:val="0"/>
                <w:color w:val="auto"/>
                <w:sz w:val="24"/>
                <w:szCs w:val="24"/>
                <w:highlight w:val="none"/>
              </w:rPr>
              <w:t>首次申报项目</w:t>
            </w:r>
            <w:r>
              <w:rPr>
                <w:b w:val="0"/>
                <w:bCs w:val="0"/>
                <w:color w:val="auto"/>
                <w:sz w:val="24"/>
                <w:szCs w:val="24"/>
                <w:highlight w:val="none"/>
              </w:rPr>
              <w:t xml:space="preserve">             </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不予批准后再次申报项目</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超五年重新审核项目</w:t>
            </w:r>
            <w:r>
              <w:rPr>
                <w:b w:val="0"/>
                <w:bCs w:val="0"/>
                <w:color w:val="auto"/>
                <w:sz w:val="24"/>
                <w:szCs w:val="24"/>
                <w:highlight w:val="none"/>
              </w:rPr>
              <w:t xml:space="preserve">     </w:t>
            </w:r>
          </w:p>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1979"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唐山高新技术产业开发区行政审批局</w:t>
            </w:r>
          </w:p>
        </w:tc>
        <w:tc>
          <w:tcPr>
            <w:tcW w:w="2236" w:type="dxa"/>
            <w:noWrap w:val="0"/>
            <w:vAlign w:val="center"/>
          </w:tcPr>
          <w:p>
            <w:pPr>
              <w:pStyle w:val="32"/>
              <w:bidi w:val="0"/>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pPr>
              <w:pStyle w:val="32"/>
              <w:bidi w:val="0"/>
              <w:rPr>
                <w:rFonts w:hint="eastAsia"/>
                <w:color w:val="auto"/>
                <w:sz w:val="24"/>
                <w:szCs w:val="24"/>
                <w:highlight w:val="none"/>
              </w:rPr>
            </w:pPr>
            <w:r>
              <w:rPr>
                <w:rFonts w:hint="eastAsia"/>
                <w:color w:val="auto"/>
                <w:sz w:val="24"/>
                <w:szCs w:val="24"/>
                <w:highlight w:val="none"/>
              </w:rPr>
              <w:t>备案）文号（选填）</w:t>
            </w:r>
          </w:p>
        </w:tc>
        <w:tc>
          <w:tcPr>
            <w:tcW w:w="3417"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唐高备字[2023]37号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总投资（万元）</w:t>
            </w:r>
          </w:p>
        </w:tc>
        <w:tc>
          <w:tcPr>
            <w:tcW w:w="1979"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300</w:t>
            </w:r>
          </w:p>
        </w:tc>
        <w:tc>
          <w:tcPr>
            <w:tcW w:w="2236"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环保投资（万元）</w:t>
            </w:r>
          </w:p>
        </w:tc>
        <w:tc>
          <w:tcPr>
            <w:tcW w:w="3417"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722"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1979"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3.33</w:t>
            </w:r>
          </w:p>
        </w:tc>
        <w:tc>
          <w:tcPr>
            <w:tcW w:w="2236"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施工工期</w:t>
            </w:r>
          </w:p>
        </w:tc>
        <w:tc>
          <w:tcPr>
            <w:tcW w:w="3417" w:type="dxa"/>
            <w:noWrap w:val="0"/>
            <w:vAlign w:val="center"/>
          </w:tcPr>
          <w:p>
            <w:pPr>
              <w:pStyle w:val="32"/>
              <w:bidi w:val="0"/>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1722" w:type="dxa"/>
            <w:noWrap w:val="0"/>
            <w:tcMar>
              <w:top w:w="16" w:type="dxa"/>
              <w:left w:w="16" w:type="dxa"/>
              <w:right w:w="16" w:type="dxa"/>
            </w:tcMar>
            <w:vAlign w:val="center"/>
          </w:tcPr>
          <w:p>
            <w:pPr>
              <w:pStyle w:val="32"/>
              <w:bidi w:val="0"/>
              <w:rPr>
                <w:rFonts w:hint="eastAsia"/>
                <w:color w:val="auto"/>
                <w:sz w:val="24"/>
                <w:szCs w:val="24"/>
                <w:highlight w:val="none"/>
              </w:rPr>
            </w:pPr>
            <w:r>
              <w:rPr>
                <w:rFonts w:hint="eastAsia"/>
                <w:color w:val="auto"/>
                <w:sz w:val="24"/>
                <w:szCs w:val="24"/>
                <w:highlight w:val="none"/>
              </w:rPr>
              <w:t>是否开工建设</w:t>
            </w:r>
          </w:p>
        </w:tc>
        <w:tc>
          <w:tcPr>
            <w:tcW w:w="1979" w:type="dxa"/>
            <w:noWrap w:val="0"/>
            <w:vAlign w:val="center"/>
          </w:tcPr>
          <w:p>
            <w:pPr>
              <w:pStyle w:val="32"/>
              <w:bidi w:val="0"/>
              <w:jc w:val="left"/>
              <w:rPr>
                <w:color w:val="auto"/>
                <w:sz w:val="24"/>
                <w:szCs w:val="24"/>
                <w:highlight w:val="none"/>
              </w:rPr>
            </w:pPr>
            <w:r>
              <w:rPr>
                <w:rFonts w:hint="eastAsia" w:ascii="宋体" w:hAnsi="宋体" w:eastAsia="宋体" w:cs="宋体"/>
                <w:b w:val="0"/>
                <w:bCs w:val="0"/>
                <w:color w:val="auto"/>
                <w:sz w:val="24"/>
                <w:szCs w:val="24"/>
                <w:highlight w:val="none"/>
              </w:rPr>
              <w:sym w:font="Wingdings" w:char="00FE"/>
            </w:r>
            <w:r>
              <w:rPr>
                <w:rFonts w:hint="eastAsia"/>
                <w:color w:val="auto"/>
                <w:sz w:val="24"/>
                <w:szCs w:val="24"/>
                <w:highlight w:val="none"/>
              </w:rPr>
              <w:t>否</w:t>
            </w:r>
          </w:p>
          <w:p>
            <w:pPr>
              <w:pStyle w:val="32"/>
              <w:bidi w:val="0"/>
              <w:jc w:val="left"/>
              <w:rPr>
                <w:color w:val="auto"/>
                <w:sz w:val="24"/>
                <w:szCs w:val="24"/>
                <w:highlight w:val="none"/>
              </w:rPr>
            </w:pPr>
            <w:r>
              <w:rPr>
                <w:rFonts w:hint="eastAsia" w:ascii="宋体" w:hAnsi="宋体" w:eastAsia="宋体" w:cs="宋体"/>
                <w:b w:val="0"/>
                <w:bCs w:val="0"/>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lang w:val="en-US" w:eastAsia="zh-CN"/>
              </w:rPr>
              <w:t xml:space="preserve">              </w:t>
            </w:r>
            <w:r>
              <w:rPr>
                <w:rFonts w:hint="eastAsia"/>
                <w:color w:val="auto"/>
                <w:sz w:val="24"/>
                <w:szCs w:val="24"/>
                <w:highlight w:val="none"/>
              </w:rPr>
              <w:t xml:space="preserve">             </w:t>
            </w:r>
          </w:p>
        </w:tc>
        <w:tc>
          <w:tcPr>
            <w:tcW w:w="2236" w:type="dxa"/>
            <w:noWrap w:val="0"/>
            <w:tcMar>
              <w:top w:w="16" w:type="dxa"/>
              <w:left w:w="16" w:type="dxa"/>
              <w:right w:w="16" w:type="dxa"/>
            </w:tcMar>
            <w:vAlign w:val="center"/>
          </w:tcPr>
          <w:p>
            <w:pPr>
              <w:pStyle w:val="32"/>
              <w:bidi w:val="0"/>
              <w:rPr>
                <w:color w:val="auto"/>
                <w:sz w:val="24"/>
                <w:szCs w:val="24"/>
                <w:highlight w:val="none"/>
              </w:rPr>
            </w:pPr>
            <w:r>
              <w:rPr>
                <w:rFonts w:hint="eastAsia"/>
                <w:color w:val="auto"/>
                <w:sz w:val="24"/>
                <w:szCs w:val="24"/>
                <w:highlight w:val="none"/>
              </w:rPr>
              <w:t>用地（用海）</w:t>
            </w:r>
          </w:p>
          <w:p>
            <w:pPr>
              <w:pStyle w:val="32"/>
              <w:bidi w:val="0"/>
              <w:rPr>
                <w:rFonts w:hint="eastAsia"/>
                <w:color w:val="auto"/>
                <w:sz w:val="24"/>
                <w:szCs w:val="24"/>
                <w:highlight w:val="none"/>
              </w:rPr>
            </w:pPr>
            <w:r>
              <w:rPr>
                <w:rFonts w:hint="eastAsia"/>
                <w:color w:val="auto"/>
                <w:sz w:val="24"/>
                <w:szCs w:val="24"/>
                <w:highlight w:val="none"/>
              </w:rPr>
              <w:t>面积</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p>
        </w:tc>
        <w:tc>
          <w:tcPr>
            <w:tcW w:w="3417" w:type="dxa"/>
            <w:noWrap w:val="0"/>
            <w:vAlign w:val="center"/>
          </w:tcPr>
          <w:p>
            <w:pPr>
              <w:pStyle w:val="32"/>
              <w:bidi w:val="0"/>
              <w:rPr>
                <w:rFonts w:hint="default" w:eastAsia="宋体"/>
                <w:color w:val="auto"/>
                <w:sz w:val="24"/>
                <w:szCs w:val="24"/>
                <w:highlight w:val="none"/>
                <w:vertAlign w:val="baseline"/>
                <w:lang w:val="en-US" w:eastAsia="zh-CN"/>
              </w:rPr>
            </w:pPr>
            <w:r>
              <w:rPr>
                <w:rFonts w:hint="eastAsia"/>
                <w:color w:val="auto"/>
                <w:sz w:val="24"/>
                <w:szCs w:val="24"/>
                <w:highlight w:val="none"/>
                <w:lang w:val="en-US" w:eastAsia="zh-CN"/>
              </w:rPr>
              <w:t>0（在现有厂区进行建设，不新增占地）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22" w:type="dxa"/>
            <w:noWrap w:val="0"/>
            <w:vAlign w:val="center"/>
          </w:tcPr>
          <w:p>
            <w:pPr>
              <w:pStyle w:val="32"/>
              <w:bidi w:val="0"/>
              <w:jc w:val="center"/>
              <w:rPr>
                <w:color w:val="auto"/>
                <w:sz w:val="24"/>
                <w:szCs w:val="24"/>
                <w:highlight w:val="none"/>
              </w:rPr>
            </w:pPr>
            <w:r>
              <w:rPr>
                <w:rFonts w:hint="eastAsia"/>
                <w:color w:val="auto"/>
                <w:sz w:val="24"/>
                <w:szCs w:val="24"/>
                <w:highlight w:val="none"/>
              </w:rPr>
              <w:t>专项评价设置情况</w:t>
            </w:r>
          </w:p>
        </w:tc>
        <w:tc>
          <w:tcPr>
            <w:tcW w:w="7632" w:type="dxa"/>
            <w:gridSpan w:val="3"/>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722" w:type="dxa"/>
            <w:noWrap w:val="0"/>
            <w:vAlign w:val="center"/>
          </w:tcPr>
          <w:p>
            <w:pPr>
              <w:pStyle w:val="32"/>
              <w:bidi w:val="0"/>
              <w:rPr>
                <w:rFonts w:hint="eastAsia"/>
                <w:color w:val="auto"/>
                <w:sz w:val="24"/>
                <w:szCs w:val="24"/>
                <w:highlight w:val="none"/>
              </w:rPr>
            </w:pPr>
            <w:r>
              <w:rPr>
                <w:rFonts w:hint="eastAsia"/>
                <w:color w:val="auto"/>
                <w:sz w:val="24"/>
                <w:szCs w:val="24"/>
                <w:highlight w:val="none"/>
              </w:rPr>
              <w:t>规划情况</w:t>
            </w:r>
          </w:p>
        </w:tc>
        <w:tc>
          <w:tcPr>
            <w:tcW w:w="763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auto"/>
                <w:sz w:val="24"/>
                <w:szCs w:val="24"/>
                <w:highlight w:val="none"/>
                <w:lang w:val="en-US" w:eastAsia="zh-CN"/>
              </w:rPr>
            </w:pPr>
            <w:r>
              <w:rPr>
                <w:rFonts w:hint="eastAsia" w:cs="Times New Roman"/>
                <w:color w:val="auto"/>
                <w:sz w:val="24"/>
                <w:szCs w:val="24"/>
                <w:highlight w:val="none"/>
                <w:lang w:val="en-US" w:eastAsia="zh-CN"/>
              </w:rPr>
              <w:t>唐山高新区北部拓展区控制性详细规划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2" w:type="dxa"/>
            <w:noWrap w:val="0"/>
            <w:vAlign w:val="center"/>
          </w:tcPr>
          <w:p>
            <w:pPr>
              <w:pStyle w:val="32"/>
              <w:bidi w:val="0"/>
              <w:rPr>
                <w:rFonts w:hint="eastAsia"/>
                <w:color w:val="auto"/>
                <w:sz w:val="24"/>
                <w:szCs w:val="24"/>
                <w:highlight w:val="none"/>
              </w:rPr>
            </w:pPr>
            <w:r>
              <w:rPr>
                <w:rFonts w:hint="eastAsia"/>
                <w:color w:val="auto"/>
                <w:sz w:val="24"/>
                <w:szCs w:val="24"/>
                <w:highlight w:val="none"/>
              </w:rPr>
              <w:t>规划环境影响评价情况</w:t>
            </w:r>
          </w:p>
        </w:tc>
        <w:tc>
          <w:tcPr>
            <w:tcW w:w="763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textAlignment w:val="auto"/>
              <w:rPr>
                <w:rFonts w:hint="default"/>
                <w:color w:val="auto"/>
                <w:highlight w:val="none"/>
                <w:lang w:eastAsia="zh-CN"/>
              </w:rPr>
            </w:pPr>
            <w:r>
              <w:rPr>
                <w:rFonts w:hint="eastAsia"/>
                <w:color w:val="auto"/>
                <w:highlight w:val="none"/>
                <w:lang w:val="en-US" w:eastAsia="zh-CN"/>
              </w:rPr>
              <w:t>文件名称：</w:t>
            </w:r>
            <w:r>
              <w:rPr>
                <w:rFonts w:hint="eastAsia"/>
                <w:color w:val="auto"/>
                <w:highlight w:val="none"/>
              </w:rPr>
              <w:t>《</w:t>
            </w:r>
            <w:r>
              <w:rPr>
                <w:rFonts w:hint="eastAsia"/>
                <w:color w:val="auto"/>
                <w:highlight w:val="none"/>
                <w:lang w:val="en-US" w:eastAsia="zh-CN"/>
              </w:rPr>
              <w:t>唐山高新区北部拓展区规划环境影响报告书</w:t>
            </w:r>
            <w:r>
              <w:rPr>
                <w:rFonts w:hint="eastAsia"/>
                <w:color w:val="auto"/>
                <w:highlight w:val="none"/>
              </w:rPr>
              <w:t>》</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color w:val="auto"/>
                <w:highlight w:val="none"/>
                <w:lang w:eastAsia="zh-CN"/>
              </w:rPr>
            </w:pPr>
            <w:r>
              <w:rPr>
                <w:rFonts w:hint="eastAsia"/>
                <w:color w:val="auto"/>
                <w:highlight w:val="none"/>
                <w:lang w:val="en-US" w:eastAsia="zh-CN"/>
              </w:rPr>
              <w:t>召集审查机关：</w:t>
            </w:r>
            <w:r>
              <w:rPr>
                <w:rFonts w:hint="default"/>
                <w:color w:val="auto"/>
                <w:highlight w:val="none"/>
                <w:lang w:eastAsia="zh-CN"/>
              </w:rPr>
              <w:t>河北省</w:t>
            </w:r>
            <w:r>
              <w:rPr>
                <w:rFonts w:hint="eastAsia"/>
                <w:color w:val="auto"/>
                <w:highlight w:val="none"/>
                <w:lang w:val="en-US" w:eastAsia="zh-CN"/>
              </w:rPr>
              <w:t>环境保护</w:t>
            </w:r>
            <w:r>
              <w:rPr>
                <w:rFonts w:hint="default"/>
                <w:color w:val="auto"/>
                <w:highlight w:val="none"/>
                <w:lang w:eastAsia="zh-CN"/>
              </w:rPr>
              <w:t>厅</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both"/>
              <w:textAlignment w:val="auto"/>
              <w:outlineLvl w:val="9"/>
              <w:rPr>
                <w:rFonts w:hint="eastAsia"/>
                <w:color w:val="auto"/>
                <w:highlight w:val="none"/>
                <w:lang w:val="en-US" w:eastAsia="zh-CN"/>
              </w:rPr>
            </w:pPr>
            <w:r>
              <w:rPr>
                <w:rFonts w:hint="eastAsia"/>
                <w:color w:val="auto"/>
                <w:highlight w:val="none"/>
                <w:lang w:val="en-US" w:eastAsia="zh-CN"/>
              </w:rPr>
              <w:t>审查文件及文号：</w:t>
            </w:r>
            <w:r>
              <w:rPr>
                <w:rFonts w:hint="default"/>
                <w:color w:val="auto"/>
                <w:highlight w:val="none"/>
                <w:lang w:eastAsia="zh-CN"/>
              </w:rPr>
              <w:t>《</w:t>
            </w:r>
            <w:r>
              <w:rPr>
                <w:rFonts w:hint="eastAsia"/>
                <w:color w:val="auto"/>
                <w:highlight w:val="none"/>
              </w:rPr>
              <w:t>关于转送</w:t>
            </w:r>
            <w:r>
              <w:rPr>
                <w:rFonts w:hint="eastAsia"/>
                <w:color w:val="auto"/>
                <w:highlight w:val="none"/>
                <w:lang w:val="en-US" w:eastAsia="zh-CN"/>
              </w:rPr>
              <w:t>唐山高新区北部拓展区规划环境影响</w:t>
            </w:r>
            <w:r>
              <w:rPr>
                <w:rFonts w:hint="eastAsia"/>
                <w:color w:val="auto"/>
                <w:highlight w:val="none"/>
              </w:rPr>
              <w:t>报告书审查意见的函</w:t>
            </w:r>
            <w:r>
              <w:rPr>
                <w:rFonts w:hint="default"/>
                <w:color w:val="auto"/>
                <w:highlight w:val="none"/>
                <w:lang w:eastAsia="zh-CN"/>
              </w:rPr>
              <w:t>》（</w:t>
            </w:r>
            <w:r>
              <w:rPr>
                <w:rFonts w:hint="eastAsia"/>
                <w:color w:val="auto"/>
                <w:highlight w:val="none"/>
              </w:rPr>
              <w:t>冀环评函</w:t>
            </w:r>
            <w:r>
              <w:rPr>
                <w:rFonts w:hint="eastAsia"/>
                <w:color w:val="auto"/>
                <w:highlight w:val="none"/>
                <w:lang w:val="en-US" w:eastAsia="zh-CN"/>
              </w:rPr>
              <w:t>[</w:t>
            </w:r>
            <w:r>
              <w:rPr>
                <w:rFonts w:hint="eastAsia"/>
                <w:color w:val="auto"/>
                <w:highlight w:val="none"/>
              </w:rPr>
              <w:t>20</w:t>
            </w:r>
            <w:r>
              <w:rPr>
                <w:rFonts w:hint="eastAsia"/>
                <w:color w:val="auto"/>
                <w:highlight w:val="none"/>
                <w:lang w:val="en-US" w:eastAsia="zh-CN"/>
              </w:rPr>
              <w:t>14]1011</w:t>
            </w:r>
            <w:r>
              <w:rPr>
                <w:rFonts w:hint="eastAsia"/>
                <w:color w:val="auto"/>
                <w:highlight w:val="none"/>
              </w:rPr>
              <w:t>号</w:t>
            </w:r>
            <w:r>
              <w:rPr>
                <w:rFonts w:hint="eastAsia"/>
                <w:color w:val="auto"/>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textAlignment w:val="auto"/>
              <w:rPr>
                <w:rFonts w:hint="default"/>
                <w:color w:val="auto"/>
                <w:highlight w:val="none"/>
                <w:lang w:eastAsia="zh-CN"/>
              </w:rPr>
            </w:pPr>
            <w:r>
              <w:rPr>
                <w:rFonts w:hint="eastAsia"/>
                <w:color w:val="auto"/>
                <w:highlight w:val="none"/>
                <w:lang w:val="en-US" w:eastAsia="zh-CN"/>
              </w:rPr>
              <w:t>文件名称：</w:t>
            </w:r>
            <w:r>
              <w:rPr>
                <w:rFonts w:hint="eastAsia"/>
                <w:color w:val="auto"/>
                <w:highlight w:val="none"/>
                <w:lang w:eastAsia="zh-CN"/>
              </w:rPr>
              <w:t>《</w:t>
            </w:r>
            <w:r>
              <w:rPr>
                <w:rFonts w:hint="eastAsia"/>
                <w:color w:val="auto"/>
                <w:highlight w:val="none"/>
                <w:lang w:val="en-US" w:eastAsia="zh-CN"/>
              </w:rPr>
              <w:t>唐山高新区北部拓展区规划环境影响跟踪评价报告</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color w:val="auto"/>
                <w:highlight w:val="none"/>
                <w:lang w:eastAsia="zh-CN"/>
              </w:rPr>
            </w:pPr>
            <w:r>
              <w:rPr>
                <w:rFonts w:hint="eastAsia"/>
                <w:color w:val="auto"/>
                <w:highlight w:val="none"/>
                <w:lang w:val="en-US" w:eastAsia="zh-CN"/>
              </w:rPr>
              <w:t>召集审查机关：</w:t>
            </w:r>
            <w:r>
              <w:rPr>
                <w:rFonts w:hint="default"/>
                <w:color w:val="auto"/>
                <w:highlight w:val="none"/>
                <w:lang w:eastAsia="zh-CN"/>
              </w:rPr>
              <w:t>河北省</w:t>
            </w:r>
            <w:r>
              <w:rPr>
                <w:rFonts w:hint="eastAsia"/>
                <w:color w:val="auto"/>
                <w:highlight w:val="none"/>
                <w:lang w:val="en-US" w:eastAsia="zh-CN"/>
              </w:rPr>
              <w:t>生态环境</w:t>
            </w:r>
            <w:r>
              <w:rPr>
                <w:rFonts w:hint="default"/>
                <w:color w:val="auto"/>
                <w:highlight w:val="none"/>
                <w:lang w:eastAsia="zh-CN"/>
              </w:rPr>
              <w:t>厅</w:t>
            </w:r>
            <w:r>
              <w:rPr>
                <w:rFonts w:hint="eastAsia"/>
                <w:color w:val="auto"/>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both"/>
              <w:textAlignment w:val="auto"/>
              <w:outlineLvl w:val="9"/>
              <w:rPr>
                <w:rFonts w:hint="default"/>
                <w:color w:val="auto"/>
                <w:lang w:val="en-US" w:eastAsia="zh-CN"/>
              </w:rPr>
            </w:pPr>
            <w:r>
              <w:rPr>
                <w:rFonts w:hint="eastAsia"/>
                <w:color w:val="auto"/>
                <w:highlight w:val="none"/>
                <w:lang w:val="en-US" w:eastAsia="zh-CN"/>
              </w:rPr>
              <w:t>审查文件及文号：</w:t>
            </w:r>
            <w:r>
              <w:rPr>
                <w:rFonts w:hint="default"/>
                <w:color w:val="auto"/>
                <w:highlight w:val="none"/>
                <w:lang w:eastAsia="zh-CN"/>
              </w:rPr>
              <w:t>《</w:t>
            </w:r>
            <w:r>
              <w:rPr>
                <w:rFonts w:hint="eastAsia"/>
                <w:color w:val="auto"/>
                <w:highlight w:val="none"/>
              </w:rPr>
              <w:t>关于转送</w:t>
            </w:r>
            <w:r>
              <w:rPr>
                <w:rFonts w:hint="eastAsia"/>
                <w:color w:val="auto"/>
                <w:highlight w:val="none"/>
                <w:lang w:val="en-US" w:eastAsia="zh-CN"/>
              </w:rPr>
              <w:t>唐山高新区北部拓展区规划环境影响跟踪评价报告结论的函</w:t>
            </w:r>
            <w:r>
              <w:rPr>
                <w:rFonts w:hint="default"/>
                <w:color w:val="auto"/>
                <w:highlight w:val="none"/>
                <w:lang w:eastAsia="zh-CN"/>
              </w:rPr>
              <w:t>》（</w:t>
            </w:r>
            <w:r>
              <w:rPr>
                <w:rFonts w:hint="eastAsia"/>
                <w:color w:val="auto"/>
                <w:highlight w:val="none"/>
              </w:rPr>
              <w:t>冀环</w:t>
            </w:r>
            <w:r>
              <w:rPr>
                <w:rFonts w:hint="eastAsia"/>
                <w:color w:val="auto"/>
                <w:highlight w:val="none"/>
                <w:lang w:val="en-US" w:eastAsia="zh-CN"/>
              </w:rPr>
              <w:t>环</w:t>
            </w:r>
            <w:r>
              <w:rPr>
                <w:rFonts w:hint="eastAsia"/>
                <w:color w:val="auto"/>
                <w:highlight w:val="none"/>
              </w:rPr>
              <w:t>评函</w:t>
            </w:r>
            <w:r>
              <w:rPr>
                <w:rFonts w:hint="eastAsia"/>
                <w:color w:val="auto"/>
                <w:highlight w:val="none"/>
                <w:lang w:val="en-US" w:eastAsia="zh-CN"/>
              </w:rPr>
              <w:t>[</w:t>
            </w:r>
            <w:r>
              <w:rPr>
                <w:rFonts w:hint="eastAsia"/>
                <w:color w:val="auto"/>
                <w:highlight w:val="none"/>
              </w:rPr>
              <w:t>20</w:t>
            </w:r>
            <w:r>
              <w:rPr>
                <w:rFonts w:hint="eastAsia"/>
                <w:color w:val="auto"/>
                <w:highlight w:val="none"/>
                <w:lang w:val="en-US" w:eastAsia="zh-CN"/>
              </w:rPr>
              <w:t>22]376</w:t>
            </w:r>
            <w:r>
              <w:rPr>
                <w:rFonts w:hint="eastAsia"/>
                <w:color w:val="auto"/>
                <w:highlight w:val="none"/>
              </w:rPr>
              <w:t>号</w:t>
            </w:r>
            <w:r>
              <w:rPr>
                <w:rFonts w:hint="eastAsia"/>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2" w:type="dxa"/>
            <w:noWrap w:val="0"/>
            <w:vAlign w:val="center"/>
          </w:tcPr>
          <w:p>
            <w:pPr>
              <w:pStyle w:val="32"/>
              <w:bidi w:val="0"/>
              <w:rPr>
                <w:rFonts w:hint="eastAsia"/>
                <w:color w:val="auto"/>
                <w:sz w:val="24"/>
                <w:szCs w:val="24"/>
                <w:highlight w:val="none"/>
              </w:rPr>
            </w:pPr>
            <w:r>
              <w:rPr>
                <w:rFonts w:hint="eastAsia"/>
                <w:color w:val="auto"/>
                <w:sz w:val="24"/>
                <w:szCs w:val="24"/>
                <w:highlight w:val="none"/>
              </w:rPr>
              <w:t>规划及规划环境影响评价符合性分析</w:t>
            </w:r>
          </w:p>
        </w:tc>
        <w:tc>
          <w:tcPr>
            <w:tcW w:w="7632"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b/>
                <w:bCs/>
                <w:color w:val="auto"/>
                <w:highlight w:val="none"/>
                <w:lang w:val="en-US" w:eastAsia="zh-CN"/>
              </w:rPr>
            </w:pPr>
            <w:r>
              <w:rPr>
                <w:rFonts w:hint="eastAsia"/>
                <w:b/>
                <w:bCs/>
                <w:color w:val="auto"/>
                <w:highlight w:val="none"/>
                <w:lang w:val="en-US" w:eastAsia="zh-CN"/>
              </w:rPr>
              <w:t>1、与规划的符合性分析</w:t>
            </w:r>
          </w:p>
          <w:p>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供水规划</w:t>
            </w:r>
          </w:p>
          <w:p>
            <w:pPr>
              <w:bidi w:val="0"/>
              <w:rPr>
                <w:rFonts w:hint="default"/>
                <w:color w:val="auto"/>
                <w:highlight w:val="none"/>
                <w:lang w:val="en-US" w:eastAsia="zh-CN"/>
              </w:rPr>
            </w:pPr>
            <w:r>
              <w:rPr>
                <w:rFonts w:hint="eastAsia" w:cs="Times New Roman"/>
                <w:b w:val="0"/>
                <w:bCs w:val="0"/>
                <w:color w:val="auto"/>
                <w:highlight w:val="none"/>
                <w:lang w:val="en-US" w:eastAsia="zh-CN"/>
              </w:rPr>
              <w:t>规划情况：</w:t>
            </w:r>
            <w:r>
              <w:rPr>
                <w:rFonts w:cs="Times New Roman"/>
                <w:b w:val="0"/>
                <w:bCs w:val="0"/>
                <w:color w:val="auto"/>
                <w:highlight w:val="none"/>
              </w:rPr>
              <w:t>高新区北部拓展区2020年需水总量7.55万m</w:t>
            </w:r>
            <w:r>
              <w:rPr>
                <w:rFonts w:cs="Times New Roman"/>
                <w:b w:val="0"/>
                <w:bCs w:val="0"/>
                <w:color w:val="auto"/>
                <w:highlight w:val="none"/>
                <w:vertAlign w:val="superscript"/>
              </w:rPr>
              <w:t>3</w:t>
            </w:r>
            <w:r>
              <w:rPr>
                <w:rFonts w:cs="Times New Roman"/>
                <w:b w:val="0"/>
                <w:bCs w:val="0"/>
                <w:color w:val="auto"/>
                <w:highlight w:val="none"/>
              </w:rPr>
              <w:t>/d，其中新鲜水需求量为5.42万m</w:t>
            </w:r>
            <w:r>
              <w:rPr>
                <w:rFonts w:cs="Times New Roman"/>
                <w:b w:val="0"/>
                <w:bCs w:val="0"/>
                <w:color w:val="auto"/>
                <w:highlight w:val="none"/>
                <w:vertAlign w:val="superscript"/>
              </w:rPr>
              <w:t>3</w:t>
            </w:r>
            <w:r>
              <w:rPr>
                <w:rFonts w:cs="Times New Roman"/>
                <w:b w:val="0"/>
                <w:bCs w:val="0"/>
                <w:color w:val="auto"/>
                <w:highlight w:val="none"/>
              </w:rPr>
              <w:t>/d，主要靠新扩建的庆南净水厂供给。庆南净水厂，为单一地表水源，投产时间为2007年，位于大庆道与学院路交叉口东南的位置，用地面积9.0公顷，设计处理能力15.0万m</w:t>
            </w:r>
            <w:r>
              <w:rPr>
                <w:rFonts w:cs="Times New Roman"/>
                <w:b w:val="0"/>
                <w:bCs w:val="0"/>
                <w:color w:val="auto"/>
                <w:highlight w:val="none"/>
                <w:vertAlign w:val="superscript"/>
              </w:rPr>
              <w:t>3</w:t>
            </w:r>
            <w:r>
              <w:rPr>
                <w:rFonts w:cs="Times New Roman"/>
                <w:b w:val="0"/>
                <w:bCs w:val="0"/>
                <w:color w:val="auto"/>
                <w:highlight w:val="none"/>
              </w:rPr>
              <w:t>/d，水源为陡河水库。陡河水库新建1座取水泵站，取水泵站一期设计能力为16.5万m</w:t>
            </w:r>
            <w:r>
              <w:rPr>
                <w:rFonts w:cs="Times New Roman"/>
                <w:b w:val="0"/>
                <w:bCs w:val="0"/>
                <w:color w:val="auto"/>
                <w:highlight w:val="none"/>
                <w:vertAlign w:val="superscript"/>
              </w:rPr>
              <w:t>3</w:t>
            </w:r>
            <w:r>
              <w:rPr>
                <w:rFonts w:cs="Times New Roman"/>
                <w:b w:val="0"/>
                <w:bCs w:val="0"/>
                <w:color w:val="auto"/>
                <w:highlight w:val="none"/>
              </w:rPr>
              <w:t>/d，供庆南净水厂。</w:t>
            </w:r>
          </w:p>
          <w:p>
            <w:pPr>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t>建设现状</w:t>
            </w:r>
            <w:r>
              <w:rPr>
                <w:rFonts w:hint="eastAsia"/>
                <w:color w:val="auto"/>
                <w:highlight w:val="none"/>
                <w:lang w:val="en-US" w:eastAsia="zh-CN"/>
              </w:rPr>
              <w:t>：</w:t>
            </w:r>
            <w:r>
              <w:rPr>
                <w:rFonts w:cs="Times New Roman"/>
                <w:b w:val="0"/>
                <w:bCs w:val="0"/>
                <w:color w:val="auto"/>
                <w:highlight w:val="none"/>
              </w:rPr>
              <w:t>开发区供水由庆南净水厂提供，水源来自陡河水库，供水能力12万m</w:t>
            </w:r>
            <w:r>
              <w:rPr>
                <w:rFonts w:cs="Times New Roman"/>
                <w:b w:val="0"/>
                <w:bCs w:val="0"/>
                <w:color w:val="auto"/>
                <w:highlight w:val="none"/>
                <w:vertAlign w:val="superscript"/>
              </w:rPr>
              <w:t>3</w:t>
            </w:r>
            <w:r>
              <w:rPr>
                <w:rFonts w:cs="Times New Roman"/>
                <w:b w:val="0"/>
                <w:bCs w:val="0"/>
                <w:color w:val="auto"/>
                <w:highlight w:val="none"/>
              </w:rPr>
              <w:t>/d。供水管网已辅设约20km，主要在中部、南部；其他部分建成比例较少；庆南净水厂2021年6月底改造提升后，总供水能力</w:t>
            </w:r>
            <w:r>
              <w:rPr>
                <w:rFonts w:hint="eastAsia" w:cs="Times New Roman"/>
                <w:b w:val="0"/>
                <w:bCs w:val="0"/>
                <w:color w:val="auto"/>
                <w:highlight w:val="none"/>
                <w:lang w:val="en-US" w:eastAsia="zh-CN"/>
              </w:rPr>
              <w:t>可</w:t>
            </w:r>
            <w:r>
              <w:rPr>
                <w:rFonts w:cs="Times New Roman"/>
                <w:b w:val="0"/>
                <w:bCs w:val="0"/>
                <w:color w:val="auto"/>
                <w:highlight w:val="none"/>
              </w:rPr>
              <w:t>达到30万m</w:t>
            </w:r>
            <w:r>
              <w:rPr>
                <w:rFonts w:cs="Times New Roman"/>
                <w:b w:val="0"/>
                <w:bCs w:val="0"/>
                <w:color w:val="auto"/>
                <w:highlight w:val="none"/>
                <w:vertAlign w:val="superscript"/>
              </w:rPr>
              <w:t>3</w:t>
            </w:r>
            <w:r>
              <w:rPr>
                <w:rFonts w:cs="Times New Roman"/>
                <w:b w:val="0"/>
                <w:bCs w:val="0"/>
                <w:color w:val="auto"/>
                <w:highlight w:val="none"/>
              </w:rPr>
              <w:t>/d，可满足北拓企业后续建设发展。部分企业采用自备水井供水</w:t>
            </w: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水井均为开发区划区前建成，位于附近村集体土地内</w:t>
            </w:r>
            <w:r>
              <w:rPr>
                <w:rFonts w:cs="Times New Roman"/>
                <w:b w:val="0"/>
                <w:bCs w:val="0"/>
                <w:color w:val="auto"/>
                <w:highlight w:val="none"/>
              </w:rPr>
              <w:t>。</w:t>
            </w:r>
            <w:r>
              <w:rPr>
                <w:rFonts w:hint="eastAsia"/>
                <w:color w:val="auto"/>
                <w:highlight w:val="none"/>
                <w:lang w:val="en-US" w:eastAsia="zh-CN"/>
              </w:rPr>
              <w:t>开发区已于2022年1月全部关停企业水井，供水由附近村内供水管道供水</w:t>
            </w:r>
            <w:r>
              <w:rPr>
                <w:rFonts w:hint="default"/>
                <w:color w:val="auto"/>
                <w:highlight w:val="none"/>
                <w:lang w:val="en-US" w:eastAsia="zh-CN"/>
              </w:rPr>
              <w:t>。</w:t>
            </w:r>
          </w:p>
          <w:p>
            <w:pPr>
              <w:bidi w:val="0"/>
              <w:rPr>
                <w:rFonts w:hint="eastAsia"/>
                <w:color w:val="auto"/>
                <w:highlight w:val="yellow"/>
                <w:lang w:val="en-US" w:eastAsia="zh-CN"/>
              </w:rPr>
            </w:pPr>
            <w:r>
              <w:rPr>
                <w:rFonts w:hint="eastAsia"/>
                <w:color w:val="auto"/>
                <w:highlight w:val="none"/>
                <w:lang w:val="en-US" w:eastAsia="zh-CN"/>
              </w:rPr>
              <w:t>本项目不新增用水量，现有工程用水由园区供水管网提供，可满足用水需求。</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rPr>
            </w:pPr>
            <w:r>
              <w:rPr>
                <w:rFonts w:hint="default"/>
                <w:color w:val="auto"/>
                <w:highlight w:val="none"/>
                <w:lang w:val="en-US" w:eastAsia="zh-CN"/>
              </w:rPr>
              <w:t>（2）</w:t>
            </w:r>
            <w:r>
              <w:rPr>
                <w:rFonts w:hint="eastAsia"/>
                <w:color w:val="auto"/>
                <w:highlight w:val="none"/>
                <w:lang w:val="en-US" w:eastAsia="zh-CN"/>
              </w:rPr>
              <w:t>雨水排除</w:t>
            </w:r>
            <w:r>
              <w:rPr>
                <w:rFonts w:hint="default"/>
                <w:color w:val="auto"/>
                <w:highlight w:val="none"/>
                <w:lang w:val="en-US" w:eastAsia="zh-CN"/>
              </w:rPr>
              <w:t xml:space="preserve">规划 </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hint="eastAsia"/>
                <w:color w:val="auto"/>
                <w:sz w:val="24"/>
                <w:highlight w:val="none"/>
                <w:lang w:val="en-US" w:eastAsia="zh-CN"/>
              </w:rPr>
              <w:t>规划情况：</w:t>
            </w:r>
            <w:r>
              <w:rPr>
                <w:rFonts w:hint="eastAsia"/>
                <w:color w:val="auto"/>
                <w:sz w:val="24"/>
                <w:highlight w:val="none"/>
              </w:rPr>
              <w:t>高新区北部拓展区的排水体制采用雨污分流制，排水系统大致以建设路为界分为东、西两个排水分区。利用现状地形，最终排入现状河道及现状雨水管道内。</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eastAsia" w:eastAsia="宋体"/>
                <w:color w:val="auto"/>
                <w:highlight w:val="none"/>
                <w:lang w:val="en-US" w:eastAsia="zh-CN"/>
              </w:rPr>
            </w:pPr>
            <w:r>
              <w:rPr>
                <w:rFonts w:hint="eastAsia"/>
                <w:color w:val="auto"/>
                <w:highlight w:val="none"/>
                <w:lang w:val="en-US" w:eastAsia="zh-CN"/>
              </w:rPr>
              <w:t>建设现状：</w:t>
            </w:r>
            <w:r>
              <w:rPr>
                <w:rFonts w:cs="Times New Roman"/>
                <w:b w:val="0"/>
                <w:bCs w:val="0"/>
                <w:color w:val="auto"/>
                <w:highlight w:val="none"/>
              </w:rPr>
              <w:t>开发区已实现雨污分流，雨水经雨水管道汇集环城水系内，中部、南部区域已建成，其他部分建成比例较少。</w:t>
            </w:r>
            <w:r>
              <w:rPr>
                <w:rFonts w:hint="eastAsia" w:cs="Times New Roman"/>
                <w:b w:val="0"/>
                <w:bCs w:val="0"/>
                <w:color w:val="auto"/>
                <w:highlight w:val="none"/>
              </w:rPr>
              <w:t>开发区现有5处雨水排口，均排入李各庄河</w:t>
            </w:r>
            <w:r>
              <w:rPr>
                <w:rFonts w:hint="eastAsia" w:cs="Times New Roman"/>
                <w:b w:val="0"/>
                <w:bCs w:val="0"/>
                <w:color w:val="auto"/>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hint="eastAsia"/>
                <w:color w:val="auto"/>
                <w:highlight w:val="none"/>
                <w:lang w:val="en-US" w:eastAsia="zh-CN"/>
              </w:rPr>
              <w:t>本项目雨水排入市政雨水管网。</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hint="eastAsia"/>
                <w:color w:val="auto"/>
                <w:highlight w:val="none"/>
                <w:lang w:val="en-US" w:eastAsia="zh-CN"/>
              </w:rPr>
              <w:t>（3）污水排除与治理规划</w:t>
            </w:r>
          </w:p>
          <w:p>
            <w:pPr>
              <w:bidi w:val="0"/>
              <w:rPr>
                <w:rFonts w:hint="default"/>
                <w:color w:val="auto"/>
                <w:highlight w:val="none"/>
                <w:lang w:val="en-US" w:eastAsia="zh-CN"/>
              </w:rPr>
            </w:pPr>
            <w:r>
              <w:rPr>
                <w:rFonts w:hint="eastAsia"/>
                <w:color w:val="auto"/>
                <w:highlight w:val="none"/>
                <w:lang w:val="en-US" w:eastAsia="zh-CN"/>
              </w:rPr>
              <w:t>规划情况：</w:t>
            </w:r>
            <w:r>
              <w:rPr>
                <w:color w:val="auto"/>
                <w:highlight w:val="none"/>
              </w:rPr>
              <w:t>将区域以建设路为界分为东侧和西侧两个污水系统。</w:t>
            </w:r>
            <w:r>
              <w:rPr>
                <w:rFonts w:cs="Times New Roman"/>
                <w:b w:val="0"/>
                <w:bCs w:val="0"/>
                <w:color w:val="auto"/>
                <w:highlight w:val="none"/>
              </w:rPr>
              <w:fldChar w:fldCharType="begin"/>
            </w:r>
            <w:r>
              <w:rPr>
                <w:rFonts w:cs="Times New Roman"/>
                <w:b w:val="0"/>
                <w:bCs w:val="0"/>
                <w:color w:val="auto"/>
                <w:highlight w:val="none"/>
              </w:rPr>
              <w:instrText xml:space="preserve"> = 1 \* GB3 \* MERGEFORMAT </w:instrText>
            </w:r>
            <w:r>
              <w:rPr>
                <w:rFonts w:cs="Times New Roman"/>
                <w:b w:val="0"/>
                <w:bCs w:val="0"/>
                <w:color w:val="auto"/>
                <w:highlight w:val="none"/>
              </w:rPr>
              <w:fldChar w:fldCharType="separate"/>
            </w:r>
            <w:r>
              <w:rPr>
                <w:rFonts w:cs="Times New Roman"/>
                <w:b w:val="0"/>
                <w:bCs w:val="0"/>
                <w:color w:val="auto"/>
                <w:highlight w:val="none"/>
              </w:rPr>
              <w:t>①</w:t>
            </w:r>
            <w:r>
              <w:rPr>
                <w:rFonts w:cs="Times New Roman"/>
                <w:b w:val="0"/>
                <w:bCs w:val="0"/>
                <w:color w:val="auto"/>
                <w:highlight w:val="none"/>
              </w:rPr>
              <w:fldChar w:fldCharType="end"/>
            </w:r>
            <w:r>
              <w:rPr>
                <w:rFonts w:cs="Times New Roman"/>
                <w:b w:val="0"/>
                <w:bCs w:val="0"/>
                <w:color w:val="auto"/>
                <w:highlight w:val="none"/>
              </w:rPr>
              <w:t>预测2020年高新区北部拓展区的污水量2.63万m</w:t>
            </w:r>
            <w:r>
              <w:rPr>
                <w:rFonts w:cs="Times New Roman"/>
                <w:b w:val="0"/>
                <w:bCs w:val="0"/>
                <w:color w:val="auto"/>
                <w:highlight w:val="none"/>
                <w:vertAlign w:val="superscript"/>
              </w:rPr>
              <w:t>3</w:t>
            </w:r>
            <w:r>
              <w:rPr>
                <w:rFonts w:cs="Times New Roman"/>
                <w:b w:val="0"/>
                <w:bCs w:val="0"/>
                <w:color w:val="auto"/>
                <w:highlight w:val="none"/>
              </w:rPr>
              <w:t>/d，高新区北部拓展区东侧污水最终排入北郊污水处理厂进行处理；</w:t>
            </w:r>
            <w:r>
              <w:rPr>
                <w:rFonts w:cs="Times New Roman"/>
                <w:b w:val="0"/>
                <w:bCs w:val="0"/>
                <w:color w:val="auto"/>
                <w:highlight w:val="none"/>
              </w:rPr>
              <w:fldChar w:fldCharType="begin"/>
            </w:r>
            <w:r>
              <w:rPr>
                <w:rFonts w:cs="Times New Roman"/>
                <w:b w:val="0"/>
                <w:bCs w:val="0"/>
                <w:color w:val="auto"/>
                <w:highlight w:val="none"/>
              </w:rPr>
              <w:instrText xml:space="preserve"> = 2 \* GB3 \* MERGEFORMAT </w:instrText>
            </w:r>
            <w:r>
              <w:rPr>
                <w:rFonts w:cs="Times New Roman"/>
                <w:b w:val="0"/>
                <w:bCs w:val="0"/>
                <w:color w:val="auto"/>
                <w:highlight w:val="none"/>
              </w:rPr>
              <w:fldChar w:fldCharType="separate"/>
            </w:r>
            <w:r>
              <w:rPr>
                <w:rFonts w:cs="Times New Roman"/>
                <w:b w:val="0"/>
                <w:bCs w:val="0"/>
                <w:color w:val="auto"/>
                <w:highlight w:val="none"/>
              </w:rPr>
              <w:t>②</w:t>
            </w:r>
            <w:r>
              <w:rPr>
                <w:rFonts w:cs="Times New Roman"/>
                <w:b w:val="0"/>
                <w:bCs w:val="0"/>
                <w:color w:val="auto"/>
                <w:highlight w:val="none"/>
              </w:rPr>
              <w:fldChar w:fldCharType="end"/>
            </w:r>
            <w:r>
              <w:rPr>
                <w:rFonts w:cs="Times New Roman"/>
                <w:b w:val="0"/>
                <w:bCs w:val="0"/>
                <w:color w:val="auto"/>
                <w:highlight w:val="none"/>
              </w:rPr>
              <w:t>西侧污水最终排入西郊污水处理厂进行处理。</w:t>
            </w:r>
          </w:p>
          <w:p>
            <w:pPr>
              <w:bidi w:val="0"/>
              <w:rPr>
                <w:rFonts w:hint="default"/>
                <w:color w:val="auto"/>
                <w:highlight w:val="none"/>
                <w:lang w:val="en-US" w:eastAsia="zh-CN"/>
              </w:rPr>
            </w:pPr>
            <w:r>
              <w:rPr>
                <w:rFonts w:hint="eastAsia"/>
                <w:color w:val="auto"/>
                <w:highlight w:val="none"/>
                <w:lang w:val="en-US" w:eastAsia="zh-CN"/>
              </w:rPr>
              <w:t>建设现状：</w:t>
            </w:r>
            <w:r>
              <w:rPr>
                <w:rFonts w:hint="eastAsia"/>
                <w:color w:val="auto"/>
                <w:highlight w:val="none"/>
              </w:rPr>
              <w:t>1、</w:t>
            </w:r>
            <w:r>
              <w:rPr>
                <w:color w:val="auto"/>
                <w:highlight w:val="none"/>
              </w:rPr>
              <w:t>现22家企业污水排入北郊污水处理厂进行处理；卫国路以西、庆丰道以南区域排入西郊污水处理厂，12家企业排入西郊污水处理厂处理。</w:t>
            </w:r>
            <w:r>
              <w:rPr>
                <w:rFonts w:hint="eastAsia"/>
                <w:color w:val="auto"/>
                <w:highlight w:val="none"/>
              </w:rPr>
              <w:t>现状两个污水处理厂排放达到一级A标准。</w:t>
            </w:r>
            <w:r>
              <w:rPr>
                <w:rFonts w:hint="eastAsia"/>
                <w:b w:val="0"/>
                <w:bCs w:val="0"/>
                <w:color w:val="auto"/>
                <w:highlight w:val="none"/>
              </w:rPr>
              <w:t>2、</w:t>
            </w:r>
            <w:r>
              <w:rPr>
                <w:b w:val="0"/>
                <w:bCs w:val="0"/>
                <w:color w:val="auto"/>
                <w:highlight w:val="none"/>
              </w:rPr>
              <w:t>东郊及北郊厂拟合并迁建成一个厂</w:t>
            </w:r>
            <w:r>
              <w:rPr>
                <w:rFonts w:hint="eastAsia"/>
                <w:b w:val="0"/>
                <w:bCs w:val="0"/>
                <w:color w:val="auto"/>
                <w:highlight w:val="none"/>
              </w:rPr>
              <w:t>，</w:t>
            </w:r>
            <w:r>
              <w:rPr>
                <w:b w:val="0"/>
                <w:bCs w:val="0"/>
                <w:color w:val="auto"/>
                <w:highlight w:val="none"/>
              </w:rPr>
              <w:t>迁建东北郊污水厂位于开平区越河镇塔头村北。西郊污水处理厂规划搬迁至韩城</w:t>
            </w:r>
            <w:r>
              <w:rPr>
                <w:rFonts w:hint="eastAsia"/>
                <w:b w:val="0"/>
                <w:bCs w:val="0"/>
                <w:color w:val="auto"/>
                <w:highlight w:val="none"/>
              </w:rPr>
              <w:t>，迁建后两个污水处理厂均达到北京市地方标准《城镇污水处理厂水污染物排</w:t>
            </w:r>
            <w:r>
              <w:rPr>
                <w:rFonts w:hint="eastAsia" w:cs="Times New Roman"/>
                <w:b w:val="0"/>
                <w:bCs w:val="0"/>
                <w:color w:val="auto"/>
                <w:highlight w:val="none"/>
              </w:rPr>
              <w:t>放标准》（DB11/890-2012）表1中的B标准</w:t>
            </w: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开发区内已实现工业污水100%集中收纳处置。</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hint="eastAsia"/>
                <w:color w:val="auto"/>
                <w:highlight w:val="none"/>
                <w:lang w:val="en-US" w:eastAsia="zh-CN"/>
              </w:rPr>
              <w:t>本项目不新增废水产生，无废水外排。</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hint="eastAsia"/>
                <w:color w:val="auto"/>
                <w:highlight w:val="none"/>
                <w:lang w:val="en-US" w:eastAsia="zh-CN"/>
              </w:rPr>
              <w:t>（4）电力工程规划</w:t>
            </w:r>
          </w:p>
          <w:p>
            <w:pPr>
              <w:bidi w:val="0"/>
              <w:rPr>
                <w:rFonts w:hint="default"/>
                <w:color w:val="auto"/>
                <w:highlight w:val="none"/>
                <w:lang w:val="en-US" w:eastAsia="zh-CN"/>
              </w:rPr>
            </w:pPr>
            <w:r>
              <w:rPr>
                <w:rFonts w:hint="eastAsia" w:cs="Times New Roman"/>
                <w:b w:val="0"/>
                <w:bCs w:val="0"/>
                <w:color w:val="auto"/>
                <w:highlight w:val="none"/>
                <w:lang w:val="en-US" w:eastAsia="zh-CN"/>
              </w:rPr>
              <w:t>规划情况：</w:t>
            </w:r>
            <w:r>
              <w:rPr>
                <w:rFonts w:cs="Times New Roman"/>
                <w:b w:val="0"/>
                <w:bCs w:val="0"/>
                <w:color w:val="auto"/>
                <w:highlight w:val="none"/>
              </w:rPr>
              <w:fldChar w:fldCharType="begin"/>
            </w:r>
            <w:r>
              <w:rPr>
                <w:rFonts w:cs="Times New Roman"/>
                <w:b w:val="0"/>
                <w:bCs w:val="0"/>
                <w:color w:val="auto"/>
                <w:highlight w:val="none"/>
              </w:rPr>
              <w:instrText xml:space="preserve"> = 1 \* GB3 \* MERGEFORMAT </w:instrText>
            </w:r>
            <w:r>
              <w:rPr>
                <w:rFonts w:cs="Times New Roman"/>
                <w:b w:val="0"/>
                <w:bCs w:val="0"/>
                <w:color w:val="auto"/>
                <w:highlight w:val="none"/>
              </w:rPr>
              <w:fldChar w:fldCharType="separate"/>
            </w:r>
            <w:r>
              <w:rPr>
                <w:rFonts w:cs="Times New Roman"/>
                <w:b w:val="0"/>
                <w:bCs w:val="0"/>
                <w:color w:val="auto"/>
                <w:highlight w:val="none"/>
              </w:rPr>
              <w:t>①</w:t>
            </w:r>
            <w:r>
              <w:rPr>
                <w:rFonts w:cs="Times New Roman"/>
                <w:b w:val="0"/>
                <w:bCs w:val="0"/>
                <w:color w:val="auto"/>
                <w:highlight w:val="none"/>
              </w:rPr>
              <w:fldChar w:fldCharType="end"/>
            </w:r>
            <w:r>
              <w:rPr>
                <w:rFonts w:cs="Times New Roman"/>
                <w:b w:val="0"/>
                <w:bCs w:val="0"/>
                <w:color w:val="auto"/>
                <w:highlight w:val="none"/>
              </w:rPr>
              <w:t>根据高新区北部拓展区的规划建筑规模及供电负荷指标，预测高新区北部拓展区的用电负荷为488.8MW。</w:t>
            </w:r>
            <w:r>
              <w:rPr>
                <w:rFonts w:cs="Times New Roman"/>
                <w:b w:val="0"/>
                <w:bCs w:val="0"/>
                <w:color w:val="auto"/>
                <w:highlight w:val="none"/>
              </w:rPr>
              <w:fldChar w:fldCharType="begin"/>
            </w:r>
            <w:r>
              <w:rPr>
                <w:rFonts w:cs="Times New Roman"/>
                <w:b w:val="0"/>
                <w:bCs w:val="0"/>
                <w:color w:val="auto"/>
                <w:highlight w:val="none"/>
              </w:rPr>
              <w:instrText xml:space="preserve"> = 2 \* GB3 \* MERGEFORMAT </w:instrText>
            </w:r>
            <w:r>
              <w:rPr>
                <w:rFonts w:cs="Times New Roman"/>
                <w:b w:val="0"/>
                <w:bCs w:val="0"/>
                <w:color w:val="auto"/>
                <w:highlight w:val="none"/>
              </w:rPr>
              <w:fldChar w:fldCharType="separate"/>
            </w:r>
            <w:r>
              <w:rPr>
                <w:rFonts w:cs="Times New Roman"/>
                <w:b w:val="0"/>
                <w:bCs w:val="0"/>
                <w:color w:val="auto"/>
                <w:highlight w:val="none"/>
              </w:rPr>
              <w:t>②</w:t>
            </w:r>
            <w:r>
              <w:rPr>
                <w:rFonts w:cs="Times New Roman"/>
                <w:b w:val="0"/>
                <w:bCs w:val="0"/>
                <w:color w:val="auto"/>
                <w:highlight w:val="none"/>
              </w:rPr>
              <w:fldChar w:fldCharType="end"/>
            </w:r>
            <w:r>
              <w:rPr>
                <w:rFonts w:cs="Times New Roman"/>
                <w:b w:val="0"/>
                <w:bCs w:val="0"/>
                <w:color w:val="auto"/>
                <w:highlight w:val="none"/>
              </w:rPr>
              <w:t>规划区共需建110KV变电站7座，保留孙家庄110KV变电站，用地面积0.76公顷；保留龙王庙110KV变电站，用地面积0.92公顷。</w:t>
            </w:r>
            <w:r>
              <w:rPr>
                <w:rFonts w:cs="Times New Roman"/>
                <w:b w:val="0"/>
                <w:bCs w:val="0"/>
                <w:color w:val="auto"/>
                <w:highlight w:val="none"/>
              </w:rPr>
              <w:fldChar w:fldCharType="begin"/>
            </w:r>
            <w:r>
              <w:rPr>
                <w:rFonts w:cs="Times New Roman"/>
                <w:b w:val="0"/>
                <w:bCs w:val="0"/>
                <w:color w:val="auto"/>
                <w:highlight w:val="none"/>
              </w:rPr>
              <w:instrText xml:space="preserve"> = 3 \* GB3 \* MERGEFORMAT </w:instrText>
            </w:r>
            <w:r>
              <w:rPr>
                <w:rFonts w:cs="Times New Roman"/>
                <w:b w:val="0"/>
                <w:bCs w:val="0"/>
                <w:color w:val="auto"/>
                <w:highlight w:val="none"/>
              </w:rPr>
              <w:fldChar w:fldCharType="separate"/>
            </w:r>
            <w:r>
              <w:rPr>
                <w:rFonts w:cs="Times New Roman"/>
                <w:b w:val="0"/>
                <w:bCs w:val="0"/>
                <w:color w:val="auto"/>
                <w:highlight w:val="none"/>
              </w:rPr>
              <w:t>③</w:t>
            </w:r>
            <w:r>
              <w:rPr>
                <w:rFonts w:cs="Times New Roman"/>
                <w:b w:val="0"/>
                <w:bCs w:val="0"/>
                <w:color w:val="auto"/>
                <w:highlight w:val="none"/>
              </w:rPr>
              <w:fldChar w:fldCharType="end"/>
            </w:r>
            <w:r>
              <w:rPr>
                <w:rFonts w:cs="Times New Roman"/>
                <w:b w:val="0"/>
                <w:bCs w:val="0"/>
                <w:color w:val="auto"/>
                <w:highlight w:val="none"/>
              </w:rPr>
              <w:t>规划新增加110KV变电站6处，总共用地面积3.8公顷，其变电站电源由贾庵子220KV变电站新建双回110KV线路提供。</w:t>
            </w:r>
            <w:r>
              <w:rPr>
                <w:rFonts w:cs="Times New Roman"/>
                <w:b w:val="0"/>
                <w:bCs w:val="0"/>
                <w:color w:val="auto"/>
                <w:highlight w:val="none"/>
              </w:rPr>
              <w:fldChar w:fldCharType="begin"/>
            </w:r>
            <w:r>
              <w:rPr>
                <w:rFonts w:cs="Times New Roman"/>
                <w:b w:val="0"/>
                <w:bCs w:val="0"/>
                <w:color w:val="auto"/>
                <w:highlight w:val="none"/>
              </w:rPr>
              <w:instrText xml:space="preserve"> = 4 \* GB3 \* MERGEFORMAT </w:instrText>
            </w:r>
            <w:r>
              <w:rPr>
                <w:rFonts w:cs="Times New Roman"/>
                <w:b w:val="0"/>
                <w:bCs w:val="0"/>
                <w:color w:val="auto"/>
                <w:highlight w:val="none"/>
              </w:rPr>
              <w:fldChar w:fldCharType="separate"/>
            </w:r>
            <w:r>
              <w:rPr>
                <w:rFonts w:cs="Times New Roman"/>
                <w:b w:val="0"/>
                <w:bCs w:val="0"/>
                <w:color w:val="auto"/>
                <w:highlight w:val="none"/>
              </w:rPr>
              <w:t>④</w:t>
            </w:r>
            <w:r>
              <w:rPr>
                <w:rFonts w:cs="Times New Roman"/>
                <w:b w:val="0"/>
                <w:bCs w:val="0"/>
                <w:color w:val="auto"/>
                <w:highlight w:val="none"/>
              </w:rPr>
              <w:fldChar w:fldCharType="end"/>
            </w:r>
            <w:r>
              <w:rPr>
                <w:rFonts w:cs="Times New Roman"/>
                <w:b w:val="0"/>
                <w:bCs w:val="0"/>
                <w:color w:val="auto"/>
                <w:highlight w:val="none"/>
              </w:rPr>
              <w:t>高新区10KV电力线路采用电力电缆排管敷设方式。</w:t>
            </w:r>
          </w:p>
          <w:p>
            <w:pPr>
              <w:bidi w:val="0"/>
              <w:rPr>
                <w:rFonts w:hint="default"/>
                <w:color w:val="auto"/>
                <w:highlight w:val="none"/>
                <w:lang w:val="en-US" w:eastAsia="zh-CN"/>
              </w:rPr>
            </w:pPr>
            <w:r>
              <w:rPr>
                <w:rFonts w:hint="eastAsia"/>
                <w:color w:val="auto"/>
                <w:highlight w:val="none"/>
                <w:lang w:val="en-US" w:eastAsia="zh-CN"/>
              </w:rPr>
              <w:t>建设现状：</w:t>
            </w:r>
            <w:r>
              <w:rPr>
                <w:rFonts w:cs="Times New Roman"/>
                <w:b w:val="0"/>
                <w:bCs w:val="0"/>
                <w:color w:val="auto"/>
                <w:highlight w:val="none"/>
              </w:rPr>
              <w:t>开发区已建成7座110KV变电站，建成区电力线路基本建成。</w:t>
            </w:r>
          </w:p>
          <w:p>
            <w:pPr>
              <w:keepNext w:val="0"/>
              <w:keepLines w:val="0"/>
              <w:pageBreakBefore w:val="0"/>
              <w:widowControl/>
              <w:suppressLineNumbers w:val="0"/>
              <w:kinsoku/>
              <w:wordWrap/>
              <w:overflowPunct/>
              <w:topLinePunct w:val="0"/>
              <w:autoSpaceDE/>
              <w:autoSpaceDN/>
              <w:bidi w:val="0"/>
              <w:adjustRightInd/>
              <w:snapToGrid w:val="0"/>
              <w:spacing w:line="480" w:lineRule="exact"/>
              <w:ind w:firstLine="480" w:firstLineChars="200"/>
              <w:jc w:val="both"/>
              <w:textAlignment w:val="auto"/>
              <w:rPr>
                <w:rFonts w:hint="default"/>
                <w:color w:val="auto"/>
                <w:highlight w:val="none"/>
                <w:lang w:val="en-US" w:eastAsia="zh-CN"/>
              </w:rPr>
            </w:pPr>
            <w:r>
              <w:rPr>
                <w:rFonts w:hint="eastAsia"/>
                <w:color w:val="auto"/>
                <w:highlight w:val="none"/>
                <w:lang w:val="en-US" w:eastAsia="zh-CN"/>
              </w:rPr>
              <w:t>园区供电线路覆盖本项目，能够满足本项目用电需求。</w:t>
            </w:r>
          </w:p>
          <w:p>
            <w:pPr>
              <w:keepNext w:val="0"/>
              <w:keepLines w:val="0"/>
              <w:pageBreakBefore w:val="0"/>
              <w:widowControl/>
              <w:suppressLineNumbers w:val="0"/>
              <w:kinsoku/>
              <w:wordWrap/>
              <w:overflowPunct/>
              <w:topLinePunct w:val="0"/>
              <w:autoSpaceDE/>
              <w:autoSpaceDN/>
              <w:bidi w:val="0"/>
              <w:adjustRightInd/>
              <w:snapToGrid w:val="0"/>
              <w:spacing w:line="480" w:lineRule="exact"/>
              <w:ind w:firstLine="480" w:firstLineChars="200"/>
              <w:jc w:val="both"/>
              <w:textAlignment w:val="auto"/>
              <w:rPr>
                <w:rFonts w:hint="default"/>
                <w:color w:val="auto"/>
                <w:highlight w:val="none"/>
              </w:rPr>
            </w:pP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 xml:space="preserve">）供热工程规划 </w:t>
            </w:r>
          </w:p>
          <w:p>
            <w:pPr>
              <w:bidi w:val="0"/>
              <w:rPr>
                <w:rFonts w:hint="default"/>
                <w:color w:val="auto"/>
                <w:highlight w:val="none"/>
                <w:lang w:val="en-US" w:eastAsia="zh-CN"/>
              </w:rPr>
            </w:pPr>
            <w:r>
              <w:rPr>
                <w:rFonts w:hint="eastAsia"/>
                <w:color w:val="auto"/>
                <w:highlight w:val="none"/>
                <w:lang w:val="en-US" w:eastAsia="zh-CN"/>
              </w:rPr>
              <w:t>规划情况：</w:t>
            </w:r>
            <w:r>
              <w:rPr>
                <w:rFonts w:cs="Times New Roman"/>
                <w:b w:val="0"/>
                <w:bCs w:val="0"/>
                <w:color w:val="auto"/>
                <w:highlight w:val="none"/>
              </w:rPr>
              <w:fldChar w:fldCharType="begin"/>
            </w:r>
            <w:r>
              <w:rPr>
                <w:rFonts w:cs="Times New Roman"/>
                <w:b w:val="0"/>
                <w:bCs w:val="0"/>
                <w:color w:val="auto"/>
                <w:highlight w:val="none"/>
              </w:rPr>
              <w:instrText xml:space="preserve"> = 1 \* GB3 \* MERGEFORMAT </w:instrText>
            </w:r>
            <w:r>
              <w:rPr>
                <w:rFonts w:cs="Times New Roman"/>
                <w:b w:val="0"/>
                <w:bCs w:val="0"/>
                <w:color w:val="auto"/>
                <w:highlight w:val="none"/>
              </w:rPr>
              <w:fldChar w:fldCharType="separate"/>
            </w:r>
            <w:r>
              <w:rPr>
                <w:rFonts w:cs="Times New Roman"/>
                <w:b w:val="0"/>
                <w:bCs w:val="0"/>
                <w:color w:val="auto"/>
                <w:highlight w:val="none"/>
              </w:rPr>
              <w:t>①</w:t>
            </w:r>
            <w:r>
              <w:rPr>
                <w:rFonts w:cs="Times New Roman"/>
                <w:b w:val="0"/>
                <w:bCs w:val="0"/>
                <w:color w:val="auto"/>
                <w:highlight w:val="none"/>
              </w:rPr>
              <w:fldChar w:fldCharType="end"/>
            </w:r>
            <w:r>
              <w:rPr>
                <w:rFonts w:cs="Times New Roman"/>
                <w:b w:val="0"/>
                <w:bCs w:val="0"/>
                <w:color w:val="auto"/>
                <w:highlight w:val="none"/>
              </w:rPr>
              <w:t>高新区北部拓展区内规划综合热指标取为53.6 W/m</w:t>
            </w:r>
            <w:r>
              <w:rPr>
                <w:rFonts w:cs="Times New Roman"/>
                <w:b w:val="0"/>
                <w:bCs w:val="0"/>
                <w:color w:val="auto"/>
                <w:highlight w:val="none"/>
                <w:vertAlign w:val="superscript"/>
              </w:rPr>
              <w:t>2</w:t>
            </w:r>
            <w:r>
              <w:rPr>
                <w:rFonts w:cs="Times New Roman"/>
                <w:b w:val="0"/>
                <w:bCs w:val="0"/>
                <w:color w:val="auto"/>
                <w:highlight w:val="none"/>
              </w:rPr>
              <w:t>，根据建筑总量和综合热指标，2020年高新区北部拓展区规划总面积1600万m</w:t>
            </w:r>
            <w:r>
              <w:rPr>
                <w:rFonts w:cs="Times New Roman"/>
                <w:b w:val="0"/>
                <w:bCs w:val="0"/>
                <w:color w:val="auto"/>
                <w:highlight w:val="none"/>
                <w:vertAlign w:val="superscript"/>
              </w:rPr>
              <w:t>2</w:t>
            </w:r>
            <w:r>
              <w:rPr>
                <w:rFonts w:cs="Times New Roman"/>
                <w:b w:val="0"/>
                <w:bCs w:val="0"/>
                <w:color w:val="auto"/>
                <w:highlight w:val="none"/>
              </w:rPr>
              <w:t>，采暖热负荷为876 MW。</w:t>
            </w:r>
            <w:r>
              <w:rPr>
                <w:rFonts w:cs="Times New Roman"/>
                <w:b w:val="0"/>
                <w:bCs w:val="0"/>
                <w:color w:val="auto"/>
                <w:highlight w:val="none"/>
              </w:rPr>
              <w:fldChar w:fldCharType="begin"/>
            </w:r>
            <w:r>
              <w:rPr>
                <w:rFonts w:cs="Times New Roman"/>
                <w:b w:val="0"/>
                <w:bCs w:val="0"/>
                <w:color w:val="auto"/>
                <w:highlight w:val="none"/>
              </w:rPr>
              <w:instrText xml:space="preserve"> = 2 \* GB3 \* MERGEFORMAT </w:instrText>
            </w:r>
            <w:r>
              <w:rPr>
                <w:rFonts w:cs="Times New Roman"/>
                <w:b w:val="0"/>
                <w:bCs w:val="0"/>
                <w:color w:val="auto"/>
                <w:highlight w:val="none"/>
              </w:rPr>
              <w:fldChar w:fldCharType="separate"/>
            </w:r>
            <w:r>
              <w:rPr>
                <w:rFonts w:cs="Times New Roman"/>
                <w:b w:val="0"/>
                <w:bCs w:val="0"/>
                <w:color w:val="auto"/>
                <w:highlight w:val="none"/>
              </w:rPr>
              <w:t>②</w:t>
            </w:r>
            <w:r>
              <w:rPr>
                <w:rFonts w:cs="Times New Roman"/>
                <w:b w:val="0"/>
                <w:bCs w:val="0"/>
                <w:color w:val="auto"/>
                <w:highlight w:val="none"/>
              </w:rPr>
              <w:fldChar w:fldCharType="end"/>
            </w:r>
            <w:r>
              <w:rPr>
                <w:rFonts w:cs="Times New Roman"/>
                <w:b w:val="0"/>
                <w:bCs w:val="0"/>
                <w:color w:val="auto"/>
                <w:highlight w:val="none"/>
              </w:rPr>
              <w:t>高新区北部拓展区的供热由拟建北郊热电厂提供。但严禁自建供热锅炉。</w:t>
            </w:r>
            <w:r>
              <w:rPr>
                <w:rFonts w:cs="Times New Roman"/>
                <w:b w:val="0"/>
                <w:bCs w:val="0"/>
                <w:color w:val="auto"/>
                <w:highlight w:val="none"/>
              </w:rPr>
              <w:fldChar w:fldCharType="begin"/>
            </w:r>
            <w:r>
              <w:rPr>
                <w:rFonts w:cs="Times New Roman"/>
                <w:b w:val="0"/>
                <w:bCs w:val="0"/>
                <w:color w:val="auto"/>
                <w:highlight w:val="none"/>
              </w:rPr>
              <w:instrText xml:space="preserve"> = 3 \* GB3 \* MERGEFORMAT </w:instrText>
            </w:r>
            <w:r>
              <w:rPr>
                <w:rFonts w:cs="Times New Roman"/>
                <w:b w:val="0"/>
                <w:bCs w:val="0"/>
                <w:color w:val="auto"/>
                <w:highlight w:val="none"/>
              </w:rPr>
              <w:fldChar w:fldCharType="separate"/>
            </w:r>
            <w:r>
              <w:rPr>
                <w:rFonts w:cs="Times New Roman"/>
                <w:b w:val="0"/>
                <w:bCs w:val="0"/>
                <w:color w:val="auto"/>
                <w:highlight w:val="none"/>
              </w:rPr>
              <w:t>③</w:t>
            </w:r>
            <w:r>
              <w:rPr>
                <w:rFonts w:cs="Times New Roman"/>
                <w:b w:val="0"/>
                <w:bCs w:val="0"/>
                <w:color w:val="auto"/>
                <w:highlight w:val="none"/>
              </w:rPr>
              <w:fldChar w:fldCharType="end"/>
            </w:r>
            <w:r>
              <w:rPr>
                <w:rFonts w:cs="Times New Roman"/>
                <w:b w:val="0"/>
                <w:bCs w:val="0"/>
                <w:color w:val="auto"/>
                <w:highlight w:val="none"/>
              </w:rPr>
              <w:t>规划沿区内市政道路修建供热管道，根据《城市热力网设计规范》的规定及高新区地质、水位的具体情况，结合当前城市热力网的发展水平，管网采用直埋敷设形式。</w:t>
            </w:r>
            <w:r>
              <w:rPr>
                <w:rFonts w:cs="Times New Roman"/>
                <w:b w:val="0"/>
                <w:bCs w:val="0"/>
                <w:color w:val="auto"/>
                <w:highlight w:val="none"/>
              </w:rPr>
              <w:fldChar w:fldCharType="begin"/>
            </w:r>
            <w:r>
              <w:rPr>
                <w:rFonts w:cs="Times New Roman"/>
                <w:b w:val="0"/>
                <w:bCs w:val="0"/>
                <w:color w:val="auto"/>
                <w:highlight w:val="none"/>
              </w:rPr>
              <w:instrText xml:space="preserve"> = 3 \* GB3 \* MERGEFORMAT </w:instrText>
            </w:r>
            <w:r>
              <w:rPr>
                <w:rFonts w:cs="Times New Roman"/>
                <w:b w:val="0"/>
                <w:bCs w:val="0"/>
                <w:color w:val="auto"/>
                <w:highlight w:val="none"/>
              </w:rPr>
              <w:fldChar w:fldCharType="separate"/>
            </w:r>
            <w:r>
              <w:rPr>
                <w:rFonts w:cs="Times New Roman"/>
                <w:b w:val="0"/>
                <w:bCs w:val="0"/>
                <w:color w:val="auto"/>
                <w:highlight w:val="none"/>
              </w:rPr>
              <w:t>③</w:t>
            </w:r>
            <w:r>
              <w:rPr>
                <w:rFonts w:cs="Times New Roman"/>
                <w:b w:val="0"/>
                <w:bCs w:val="0"/>
                <w:color w:val="auto"/>
                <w:highlight w:val="none"/>
              </w:rPr>
              <w:fldChar w:fldCharType="end"/>
            </w:r>
            <w:r>
              <w:rPr>
                <w:rFonts w:cs="Times New Roman"/>
                <w:b w:val="0"/>
                <w:bCs w:val="0"/>
                <w:color w:val="auto"/>
                <w:highlight w:val="none"/>
              </w:rPr>
              <w:t>居住区按每10－20万m</w:t>
            </w:r>
            <w:r>
              <w:rPr>
                <w:rFonts w:cs="Times New Roman"/>
                <w:b w:val="0"/>
                <w:bCs w:val="0"/>
                <w:color w:val="auto"/>
                <w:highlight w:val="none"/>
                <w:vertAlign w:val="superscript"/>
              </w:rPr>
              <w:t>2</w:t>
            </w:r>
            <w:r>
              <w:rPr>
                <w:rFonts w:cs="Times New Roman"/>
                <w:b w:val="0"/>
                <w:bCs w:val="0"/>
                <w:color w:val="auto"/>
                <w:highlight w:val="none"/>
              </w:rPr>
              <w:t>建筑规模安排1座换热站为住宅供热，公共建筑区根据各单位的建设发展及采暖需求安排换热站。</w:t>
            </w:r>
          </w:p>
          <w:p>
            <w:pPr>
              <w:bidi w:val="0"/>
              <w:rPr>
                <w:rFonts w:hint="default"/>
                <w:color w:val="auto"/>
                <w:highlight w:val="none"/>
                <w:lang w:val="en-US" w:eastAsia="zh-CN"/>
              </w:rPr>
            </w:pPr>
            <w:r>
              <w:rPr>
                <w:rFonts w:hint="eastAsia"/>
                <w:color w:val="auto"/>
                <w:highlight w:val="none"/>
                <w:lang w:val="en-US" w:eastAsia="zh-CN"/>
              </w:rPr>
              <w:t>建设现状：</w:t>
            </w:r>
            <w:r>
              <w:rPr>
                <w:b w:val="0"/>
                <w:bCs w:val="0"/>
                <w:color w:val="auto"/>
                <w:highlight w:val="none"/>
              </w:rPr>
              <w:t>开发区</w:t>
            </w:r>
            <w:r>
              <w:rPr>
                <w:rFonts w:hint="eastAsia"/>
                <w:b w:val="0"/>
                <w:bCs w:val="0"/>
                <w:color w:val="auto"/>
                <w:highlight w:val="none"/>
              </w:rPr>
              <w:t>内部分</w:t>
            </w:r>
            <w:r>
              <w:rPr>
                <w:b w:val="0"/>
                <w:bCs w:val="0"/>
                <w:color w:val="auto"/>
                <w:highlight w:val="none"/>
              </w:rPr>
              <w:t>企业</w:t>
            </w:r>
            <w:r>
              <w:rPr>
                <w:rFonts w:hint="eastAsia"/>
                <w:b w:val="0"/>
                <w:bCs w:val="0"/>
                <w:color w:val="auto"/>
                <w:highlight w:val="none"/>
              </w:rPr>
              <w:t>建设</w:t>
            </w:r>
            <w:r>
              <w:rPr>
                <w:b w:val="0"/>
                <w:bCs w:val="0"/>
                <w:color w:val="auto"/>
                <w:highlight w:val="none"/>
              </w:rPr>
              <w:t>自备</w:t>
            </w:r>
            <w:r>
              <w:rPr>
                <w:rFonts w:hint="eastAsia"/>
                <w:b w:val="0"/>
                <w:bCs w:val="0"/>
                <w:color w:val="auto"/>
                <w:highlight w:val="none"/>
              </w:rPr>
              <w:t>燃气供热</w:t>
            </w:r>
            <w:r>
              <w:rPr>
                <w:b w:val="0"/>
                <w:bCs w:val="0"/>
                <w:color w:val="auto"/>
                <w:highlight w:val="none"/>
              </w:rPr>
              <w:t>锅炉，开发区供热管网已建成约7.5km，主要位</w:t>
            </w:r>
            <w:r>
              <w:rPr>
                <w:rFonts w:hint="eastAsia"/>
                <w:b w:val="0"/>
                <w:bCs w:val="0"/>
                <w:color w:val="auto"/>
                <w:highlight w:val="none"/>
                <w:lang w:val="en-US" w:eastAsia="zh-CN"/>
              </w:rPr>
              <w:t>于北安道、龙泽路、火炬路、庆北路、大庆道</w:t>
            </w:r>
            <w:r>
              <w:rPr>
                <w:b w:val="0"/>
                <w:bCs w:val="0"/>
                <w:color w:val="auto"/>
                <w:highlight w:val="none"/>
              </w:rPr>
              <w:t>。</w:t>
            </w:r>
            <w:r>
              <w:rPr>
                <w:rFonts w:hint="eastAsia"/>
                <w:b w:val="0"/>
                <w:bCs w:val="0"/>
                <w:color w:val="auto"/>
                <w:highlight w:val="none"/>
                <w:lang w:val="en-US" w:eastAsia="zh-CN"/>
              </w:rPr>
              <w:t>开发区已于2022年1月全部将企业自备采暖锅炉关停，有供暖需求的企业已具备集中供热条件</w:t>
            </w:r>
            <w:r>
              <w:rPr>
                <w:rFonts w:hint="eastAsia"/>
                <w:b w:val="0"/>
                <w:bCs w:val="0"/>
                <w:color w:val="auto"/>
                <w:highlight w:val="none"/>
              </w:rPr>
              <w:t>。</w:t>
            </w:r>
            <w:r>
              <w:rPr>
                <w:b w:val="0"/>
                <w:bCs w:val="0"/>
                <w:color w:val="auto"/>
                <w:highlight w:val="none"/>
              </w:rPr>
              <w:t>开发区内村庄已于2019年11月完成煤改</w:t>
            </w:r>
            <w:r>
              <w:rPr>
                <w:rFonts w:hint="eastAsia"/>
                <w:b w:val="0"/>
                <w:bCs w:val="0"/>
                <w:color w:val="auto"/>
                <w:highlight w:val="none"/>
              </w:rPr>
              <w:t>气。</w:t>
            </w:r>
          </w:p>
          <w:p>
            <w:pPr>
              <w:bidi w:val="0"/>
              <w:rPr>
                <w:rFonts w:hint="default"/>
                <w:color w:val="auto"/>
                <w:highlight w:val="none"/>
                <w:lang w:val="en-US" w:eastAsia="zh-CN"/>
              </w:rPr>
            </w:pPr>
            <w:r>
              <w:rPr>
                <w:rFonts w:hint="eastAsia"/>
                <w:color w:val="auto"/>
                <w:highlight w:val="none"/>
                <w:lang w:val="en-US" w:eastAsia="zh-CN"/>
              </w:rPr>
              <w:t>本项目车间不设取暖设施，办公取暖采用单体空调，以电为能源。</w:t>
            </w:r>
          </w:p>
          <w:p>
            <w:pPr>
              <w:keepNext w:val="0"/>
              <w:keepLines w:val="0"/>
              <w:pageBreakBefore w:val="0"/>
              <w:widowControl/>
              <w:numPr>
                <w:ilvl w:val="0"/>
                <w:numId w:val="1"/>
              </w:numPr>
              <w:suppressLineNumbers w:val="0"/>
              <w:kinsoku/>
              <w:wordWrap/>
              <w:overflowPunct/>
              <w:topLinePunct w:val="0"/>
              <w:autoSpaceDE/>
              <w:autoSpaceDN/>
              <w:bidi w:val="0"/>
              <w:adjustRightInd/>
              <w:snapToGrid w:val="0"/>
              <w:spacing w:line="480" w:lineRule="exact"/>
              <w:ind w:left="0" w:leftChars="0" w:firstLine="480" w:firstLineChars="200"/>
              <w:jc w:val="both"/>
              <w:textAlignment w:val="auto"/>
              <w:rPr>
                <w:rFonts w:hint="eastAsia"/>
                <w:color w:val="auto"/>
                <w:highlight w:val="none"/>
                <w:lang w:val="en-US" w:eastAsia="zh-CN"/>
              </w:rPr>
            </w:pPr>
            <w:r>
              <w:rPr>
                <w:rFonts w:hint="eastAsia"/>
                <w:color w:val="auto"/>
                <w:highlight w:val="none"/>
                <w:lang w:val="en-US" w:eastAsia="zh-CN"/>
              </w:rPr>
              <w:t>燃气工程规划</w:t>
            </w:r>
          </w:p>
          <w:p>
            <w:pPr>
              <w:bidi w:val="0"/>
              <w:rPr>
                <w:rFonts w:hint="default"/>
                <w:color w:val="auto"/>
                <w:highlight w:val="none"/>
                <w:lang w:val="en-US" w:eastAsia="zh-CN"/>
              </w:rPr>
            </w:pPr>
            <w:r>
              <w:rPr>
                <w:rFonts w:hint="eastAsia"/>
                <w:color w:val="auto"/>
                <w:highlight w:val="none"/>
                <w:lang w:val="en-US" w:eastAsia="zh-CN"/>
              </w:rPr>
              <w:t>规划情况：</w:t>
            </w:r>
            <w:r>
              <w:rPr>
                <w:rFonts w:cs="Times New Roman"/>
                <w:b w:val="0"/>
                <w:bCs w:val="0"/>
                <w:color w:val="auto"/>
                <w:highlight w:val="none"/>
              </w:rPr>
              <w:fldChar w:fldCharType="begin"/>
            </w:r>
            <w:r>
              <w:rPr>
                <w:rFonts w:cs="Times New Roman"/>
                <w:b w:val="0"/>
                <w:bCs w:val="0"/>
                <w:color w:val="auto"/>
                <w:highlight w:val="none"/>
              </w:rPr>
              <w:instrText xml:space="preserve"> = 1 \* GB3 \* MERGEFORMAT </w:instrText>
            </w:r>
            <w:r>
              <w:rPr>
                <w:rFonts w:cs="Times New Roman"/>
                <w:b w:val="0"/>
                <w:bCs w:val="0"/>
                <w:color w:val="auto"/>
                <w:highlight w:val="none"/>
              </w:rPr>
              <w:fldChar w:fldCharType="separate"/>
            </w:r>
            <w:r>
              <w:rPr>
                <w:rFonts w:cs="Times New Roman"/>
                <w:b w:val="0"/>
                <w:bCs w:val="0"/>
                <w:color w:val="auto"/>
                <w:highlight w:val="none"/>
              </w:rPr>
              <w:t>①</w:t>
            </w:r>
            <w:r>
              <w:rPr>
                <w:rFonts w:cs="Times New Roman"/>
                <w:b w:val="0"/>
                <w:bCs w:val="0"/>
                <w:color w:val="auto"/>
                <w:highlight w:val="none"/>
              </w:rPr>
              <w:fldChar w:fldCharType="end"/>
            </w:r>
            <w:r>
              <w:rPr>
                <w:rFonts w:cs="Times New Roman"/>
                <w:b w:val="0"/>
                <w:bCs w:val="0"/>
                <w:color w:val="auto"/>
                <w:highlight w:val="none"/>
              </w:rPr>
              <w:t>唐山高新区气源由冀东油田南堡到唐山55km的DN650天然气管线输送，其设计能力为300万m</w:t>
            </w:r>
            <w:r>
              <w:rPr>
                <w:rFonts w:cs="Times New Roman"/>
                <w:b w:val="0"/>
                <w:bCs w:val="0"/>
                <w:color w:val="auto"/>
                <w:highlight w:val="none"/>
                <w:vertAlign w:val="superscript"/>
              </w:rPr>
              <w:t>3</w:t>
            </w:r>
            <w:r>
              <w:rPr>
                <w:rFonts w:cs="Times New Roman"/>
                <w:b w:val="0"/>
                <w:bCs w:val="0"/>
                <w:color w:val="auto"/>
                <w:highlight w:val="none"/>
              </w:rPr>
              <w:t>/d。</w:t>
            </w:r>
            <w:r>
              <w:rPr>
                <w:rFonts w:cs="Times New Roman"/>
                <w:b w:val="0"/>
                <w:bCs w:val="0"/>
                <w:color w:val="auto"/>
                <w:highlight w:val="none"/>
              </w:rPr>
              <w:fldChar w:fldCharType="begin"/>
            </w:r>
            <w:r>
              <w:rPr>
                <w:rFonts w:cs="Times New Roman"/>
                <w:b w:val="0"/>
                <w:bCs w:val="0"/>
                <w:color w:val="auto"/>
                <w:highlight w:val="none"/>
              </w:rPr>
              <w:instrText xml:space="preserve"> = 2 \* GB3 \* MERGEFORMAT </w:instrText>
            </w:r>
            <w:r>
              <w:rPr>
                <w:rFonts w:cs="Times New Roman"/>
                <w:b w:val="0"/>
                <w:bCs w:val="0"/>
                <w:color w:val="auto"/>
                <w:highlight w:val="none"/>
              </w:rPr>
              <w:fldChar w:fldCharType="separate"/>
            </w:r>
            <w:r>
              <w:rPr>
                <w:rFonts w:cs="Times New Roman"/>
                <w:b w:val="0"/>
                <w:bCs w:val="0"/>
                <w:color w:val="auto"/>
                <w:highlight w:val="none"/>
              </w:rPr>
              <w:t>②</w:t>
            </w:r>
            <w:r>
              <w:rPr>
                <w:rFonts w:cs="Times New Roman"/>
                <w:b w:val="0"/>
                <w:bCs w:val="0"/>
                <w:color w:val="auto"/>
                <w:highlight w:val="none"/>
              </w:rPr>
              <w:fldChar w:fldCharType="end"/>
            </w:r>
            <w:r>
              <w:rPr>
                <w:rFonts w:cs="Times New Roman"/>
                <w:b w:val="0"/>
                <w:bCs w:val="0"/>
                <w:color w:val="auto"/>
                <w:highlight w:val="none"/>
              </w:rPr>
              <w:t>规划在高新区北部拓展区内安排次高压</w:t>
            </w:r>
            <w:r>
              <w:rPr>
                <w:rFonts w:hint="eastAsia" w:cs="Times New Roman"/>
                <w:b w:val="0"/>
                <w:bCs w:val="0"/>
                <w:color w:val="auto"/>
                <w:highlight w:val="none"/>
                <w:lang w:eastAsia="zh-CN"/>
              </w:rPr>
              <w:t>（</w:t>
            </w:r>
            <w:r>
              <w:rPr>
                <w:rFonts w:cs="Times New Roman"/>
                <w:b w:val="0"/>
                <w:bCs w:val="0"/>
                <w:color w:val="auto"/>
                <w:highlight w:val="none"/>
              </w:rPr>
              <w:t>1.5兆帕</w:t>
            </w:r>
            <w:r>
              <w:rPr>
                <w:rFonts w:hint="eastAsia" w:cs="Times New Roman"/>
                <w:b w:val="0"/>
                <w:bCs w:val="0"/>
                <w:color w:val="auto"/>
                <w:highlight w:val="none"/>
                <w:lang w:eastAsia="zh-CN"/>
              </w:rPr>
              <w:t>）</w:t>
            </w:r>
            <w:r>
              <w:rPr>
                <w:rFonts w:cs="Times New Roman"/>
                <w:b w:val="0"/>
                <w:bCs w:val="0"/>
                <w:color w:val="auto"/>
                <w:highlight w:val="none"/>
              </w:rPr>
              <w:t>调压站2座。</w:t>
            </w:r>
            <w:r>
              <w:rPr>
                <w:rFonts w:cs="Times New Roman"/>
                <w:b w:val="0"/>
                <w:bCs w:val="0"/>
                <w:color w:val="auto"/>
                <w:highlight w:val="none"/>
              </w:rPr>
              <w:fldChar w:fldCharType="begin"/>
            </w:r>
            <w:r>
              <w:rPr>
                <w:rFonts w:cs="Times New Roman"/>
                <w:b w:val="0"/>
                <w:bCs w:val="0"/>
                <w:color w:val="auto"/>
                <w:highlight w:val="none"/>
              </w:rPr>
              <w:instrText xml:space="preserve"> = 3 \* GB3 \* MERGEFORMAT </w:instrText>
            </w:r>
            <w:r>
              <w:rPr>
                <w:rFonts w:cs="Times New Roman"/>
                <w:b w:val="0"/>
                <w:bCs w:val="0"/>
                <w:color w:val="auto"/>
                <w:highlight w:val="none"/>
              </w:rPr>
              <w:fldChar w:fldCharType="separate"/>
            </w:r>
            <w:r>
              <w:rPr>
                <w:rFonts w:cs="Times New Roman"/>
                <w:b w:val="0"/>
                <w:bCs w:val="0"/>
                <w:color w:val="auto"/>
                <w:highlight w:val="none"/>
              </w:rPr>
              <w:t>③</w:t>
            </w:r>
            <w:r>
              <w:rPr>
                <w:rFonts w:cs="Times New Roman"/>
                <w:b w:val="0"/>
                <w:bCs w:val="0"/>
                <w:color w:val="auto"/>
                <w:highlight w:val="none"/>
              </w:rPr>
              <w:fldChar w:fldCharType="end"/>
            </w:r>
            <w:r>
              <w:rPr>
                <w:rFonts w:cs="Times New Roman"/>
                <w:b w:val="0"/>
                <w:bCs w:val="0"/>
                <w:color w:val="auto"/>
                <w:highlight w:val="none"/>
              </w:rPr>
              <w:t>区内布置天然气中压管道向用户供气，结合规划道路呈环状布置，保证规划区内供气安全可靠。管网采用直埋敷设形式。</w:t>
            </w:r>
          </w:p>
          <w:p>
            <w:pPr>
              <w:bidi w:val="0"/>
              <w:rPr>
                <w:rFonts w:hint="eastAsia" w:eastAsia="宋体"/>
                <w:color w:val="auto"/>
                <w:highlight w:val="none"/>
                <w:lang w:val="en-US" w:eastAsia="zh-CN"/>
              </w:rPr>
            </w:pPr>
            <w:r>
              <w:rPr>
                <w:rFonts w:hint="eastAsia"/>
                <w:color w:val="auto"/>
                <w:highlight w:val="none"/>
                <w:lang w:val="en-US" w:eastAsia="zh-CN"/>
              </w:rPr>
              <w:t>建设现状：</w:t>
            </w:r>
            <w:r>
              <w:rPr>
                <w:rFonts w:cs="Times New Roman"/>
                <w:b w:val="0"/>
                <w:bCs w:val="0"/>
                <w:color w:val="auto"/>
                <w:highlight w:val="none"/>
              </w:rPr>
              <w:t>开发区已建设1座北郊CNG加气站，4座调压站，已敷设管网6.8km，主要位于火炬路、庆北道、庆丰道</w:t>
            </w:r>
            <w:r>
              <w:rPr>
                <w:rFonts w:hint="eastAsia" w:cs="Times New Roman"/>
                <w:b w:val="0"/>
                <w:bCs w:val="0"/>
                <w:color w:val="auto"/>
                <w:highlight w:val="none"/>
                <w:lang w:eastAsia="zh-CN"/>
              </w:rPr>
              <w:t>。</w:t>
            </w:r>
          </w:p>
          <w:p>
            <w:pPr>
              <w:bidi w:val="0"/>
              <w:rPr>
                <w:rFonts w:hint="default"/>
                <w:color w:val="auto"/>
                <w:highlight w:val="none"/>
                <w:lang w:val="en-US" w:eastAsia="zh-CN"/>
              </w:rPr>
            </w:pPr>
            <w:r>
              <w:rPr>
                <w:rFonts w:hint="eastAsia"/>
                <w:color w:val="auto"/>
                <w:highlight w:val="none"/>
                <w:lang w:val="en-US" w:eastAsia="zh-CN"/>
              </w:rPr>
              <w:t>本项目生产过程不消耗燃气。</w:t>
            </w:r>
          </w:p>
          <w:p>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w:t>
            </w:r>
            <w:r>
              <w:rPr>
                <w:rFonts w:hint="eastAsia"/>
                <w:color w:val="auto"/>
                <w:highlight w:val="none"/>
                <w:lang w:val="en-US" w:eastAsia="zh-CN"/>
              </w:rPr>
              <w:t>产业定位符合性分析</w:t>
            </w:r>
          </w:p>
          <w:p>
            <w:pPr>
              <w:bidi w:val="0"/>
              <w:rPr>
                <w:color w:val="auto"/>
                <w:highlight w:val="none"/>
              </w:rPr>
            </w:pPr>
            <w:r>
              <w:rPr>
                <w:rFonts w:hint="eastAsia"/>
                <w:color w:val="auto"/>
                <w:highlight w:val="none"/>
                <w:lang w:val="en-US" w:eastAsia="zh-CN"/>
              </w:rPr>
              <w:t>高新区北部拓展区</w:t>
            </w:r>
            <w:r>
              <w:rPr>
                <w:rFonts w:hint="eastAsia"/>
                <w:color w:val="auto"/>
                <w:highlight w:val="none"/>
              </w:rPr>
              <w:t>产业布局上遵循“区片多元，相对集中”，或称“块状经济的区域集中”的强调工业的集中布局的原则。北部拓展区以建设北路与创新大道为中心，形成以行政、商业、居住为主的核心，外围布置3个主导产业中心。</w:t>
            </w:r>
          </w:p>
          <w:p>
            <w:pPr>
              <w:bidi w:val="0"/>
              <w:rPr>
                <w:rFonts w:hint="eastAsia" w:eastAsia="宋体"/>
                <w:color w:val="auto"/>
                <w:highlight w:val="none"/>
                <w:lang w:eastAsia="zh-CN"/>
              </w:rPr>
            </w:pPr>
            <w:r>
              <w:rPr>
                <w:rFonts w:hint="eastAsia"/>
                <w:color w:val="auto"/>
                <w:highlight w:val="none"/>
              </w:rPr>
              <w:t>规划功能布局为“一心一片区</w:t>
            </w:r>
            <w:r>
              <w:rPr>
                <w:rFonts w:hint="eastAsia"/>
                <w:color w:val="auto"/>
                <w:highlight w:val="none"/>
                <w:lang w:eastAsia="zh-CN"/>
              </w:rPr>
              <w:t>（</w:t>
            </w:r>
            <w:r>
              <w:rPr>
                <w:rFonts w:hint="eastAsia"/>
                <w:color w:val="auto"/>
                <w:highlight w:val="none"/>
              </w:rPr>
              <w:t>3个组团</w:t>
            </w:r>
            <w:r>
              <w:rPr>
                <w:rFonts w:hint="eastAsia"/>
                <w:color w:val="auto"/>
                <w:highlight w:val="none"/>
                <w:lang w:eastAsia="zh-CN"/>
              </w:rPr>
              <w:t>）</w:t>
            </w:r>
            <w:r>
              <w:rPr>
                <w:rFonts w:hint="eastAsia"/>
                <w:color w:val="auto"/>
                <w:highlight w:val="none"/>
              </w:rPr>
              <w:t>”。北部拓展区中心：以行政中心、人民广场为核心，北部拓展区片区含北部、东部和西部产业组团</w:t>
            </w:r>
            <w:r>
              <w:rPr>
                <w:rFonts w:hint="eastAsia"/>
                <w:color w:val="auto"/>
                <w:highlight w:val="none"/>
                <w:lang w:eastAsia="zh-CN"/>
              </w:rPr>
              <w:t>。</w:t>
            </w:r>
          </w:p>
          <w:p>
            <w:pPr>
              <w:bidi w:val="0"/>
              <w:rPr>
                <w:color w:val="auto"/>
                <w:highlight w:val="none"/>
              </w:rPr>
            </w:pPr>
            <w:r>
              <w:rPr>
                <w:rFonts w:hint="eastAsia"/>
                <w:color w:val="auto"/>
                <w:highlight w:val="none"/>
              </w:rPr>
              <w:t>北部拓展区中心组团以高新区北部扩区新建行政中心、市民广场、文化体育中心等为核心，形成以行政、商业金融、文化娱乐、体育、医疗卫生为主要功能的产业区综合服务中心。</w:t>
            </w:r>
          </w:p>
          <w:p>
            <w:pPr>
              <w:bidi w:val="0"/>
              <w:rPr>
                <w:color w:val="auto"/>
                <w:highlight w:val="none"/>
              </w:rPr>
            </w:pPr>
            <w:r>
              <w:rPr>
                <w:rFonts w:hint="eastAsia"/>
                <w:color w:val="auto"/>
                <w:highlight w:val="none"/>
              </w:rPr>
              <w:t>北部产业组团：以新能源产业、高效节能与环保产业、生物医药研发、新型装备制造产业、智能仪器仪表产业为产业引导方向，不含</w:t>
            </w:r>
            <w:r>
              <w:rPr>
                <w:color w:val="auto"/>
                <w:highlight w:val="none"/>
              </w:rPr>
              <w:t>涉及重金属因子的</w:t>
            </w:r>
            <w:r>
              <w:rPr>
                <w:rFonts w:hint="eastAsia"/>
                <w:color w:val="auto"/>
                <w:highlight w:val="none"/>
              </w:rPr>
              <w:t>金属表面处理</w:t>
            </w:r>
            <w:r>
              <w:rPr>
                <w:color w:val="auto"/>
                <w:highlight w:val="none"/>
              </w:rPr>
              <w:t>及热处理加工</w:t>
            </w:r>
            <w:r>
              <w:rPr>
                <w:rFonts w:hint="eastAsia"/>
                <w:color w:val="auto"/>
                <w:highlight w:val="none"/>
              </w:rPr>
              <w:t>（</w:t>
            </w:r>
            <w:r>
              <w:rPr>
                <w:color w:val="auto"/>
                <w:highlight w:val="none"/>
              </w:rPr>
              <w:t>电镀</w:t>
            </w:r>
            <w:r>
              <w:rPr>
                <w:rFonts w:hint="eastAsia"/>
                <w:color w:val="auto"/>
                <w:highlight w:val="none"/>
              </w:rPr>
              <w:t>）产业。</w:t>
            </w:r>
          </w:p>
          <w:p>
            <w:pPr>
              <w:bidi w:val="0"/>
              <w:rPr>
                <w:color w:val="auto"/>
                <w:highlight w:val="none"/>
              </w:rPr>
            </w:pPr>
            <w:r>
              <w:rPr>
                <w:rFonts w:hint="eastAsia"/>
                <w:color w:val="auto"/>
                <w:highlight w:val="none"/>
              </w:rPr>
              <w:t>西部产业组团：以新材料产业、机器人产业、汽车零部件产业为产业引导方向。</w:t>
            </w:r>
          </w:p>
          <w:p>
            <w:pPr>
              <w:bidi w:val="0"/>
              <w:rPr>
                <w:rFonts w:hint="eastAsia"/>
                <w:color w:val="auto"/>
                <w:highlight w:val="none"/>
              </w:rPr>
            </w:pPr>
            <w:r>
              <w:rPr>
                <w:rFonts w:hint="eastAsia"/>
                <w:color w:val="auto"/>
                <w:highlight w:val="none"/>
              </w:rPr>
              <w:t>东部产业组团：以仓储物流、软件信息服务产业、孵化基地等为产业引导方向。</w:t>
            </w:r>
          </w:p>
          <w:p>
            <w:pPr>
              <w:bidi w:val="0"/>
              <w:rPr>
                <w:rFonts w:hint="default"/>
                <w:color w:val="auto"/>
                <w:highlight w:val="none"/>
                <w:lang w:val="en-US" w:eastAsia="zh-CN"/>
              </w:rPr>
            </w:pPr>
            <w:r>
              <w:rPr>
                <w:rFonts w:hint="eastAsia"/>
                <w:color w:val="auto"/>
                <w:highlight w:val="none"/>
                <w:lang w:val="en-US" w:eastAsia="zh-CN"/>
              </w:rPr>
              <w:t>本项目位于</w:t>
            </w:r>
            <w:r>
              <w:rPr>
                <w:rFonts w:hint="eastAsia"/>
                <w:color w:val="auto"/>
                <w:sz w:val="24"/>
                <w:szCs w:val="24"/>
                <w:highlight w:val="none"/>
                <w:lang w:val="en-US" w:eastAsia="zh-CN"/>
              </w:rPr>
              <w:t>唐山市高新区学院北路1718-1号，唐山烯彤科技有限公司院内，属于</w:t>
            </w:r>
            <w:r>
              <w:rPr>
                <w:rFonts w:hint="eastAsia"/>
                <w:color w:val="auto"/>
                <w:highlight w:val="none"/>
                <w:lang w:val="en-US" w:eastAsia="zh-CN"/>
              </w:rPr>
              <w:t>西部产业组团，主要对现有石墨烯电发热元件生产线进行改造，调整产品方案，购置石墨烯电发热膜相关设备，新增年产石墨烯电发热膜10000套/a，同时，新建节能速热电锅炉组装生产线，将石墨烯电发热体生产线生产的石墨烯电发热体与进购的机箱外壳、触摸控制板、耐高温线等零配件采用手工和螺丝进行组装</w:t>
            </w:r>
            <w:r>
              <w:rPr>
                <w:rFonts w:hint="eastAsia" w:ascii="Times New Roman" w:hAnsi="Times New Roman" w:eastAsia="宋体" w:cs="Times New Roman"/>
                <w:i w:val="0"/>
                <w:color w:val="auto"/>
                <w:kern w:val="0"/>
                <w:sz w:val="24"/>
                <w:szCs w:val="24"/>
                <w:u w:val="none"/>
                <w:lang w:val="en-US" w:eastAsia="zh-CN" w:bidi="ar"/>
              </w:rPr>
              <w:t>，生产节能速热电锅炉，</w:t>
            </w:r>
            <w:r>
              <w:rPr>
                <w:rFonts w:hint="eastAsia"/>
                <w:color w:val="auto"/>
                <w:highlight w:val="none"/>
                <w:lang w:val="en-US" w:eastAsia="zh-CN"/>
              </w:rPr>
              <w:t>属于新材料产业，符合北部拓展区西部产业组团产业定位。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2、项目与</w:t>
            </w:r>
            <w:r>
              <w:rPr>
                <w:rFonts w:hint="default"/>
                <w:b/>
                <w:bCs/>
                <w:color w:val="auto"/>
                <w:sz w:val="24"/>
                <w:szCs w:val="24"/>
                <w:highlight w:val="none"/>
                <w:lang w:val="en-US" w:eastAsia="zh-CN"/>
              </w:rPr>
              <w:t>规划环评结论的符合性分析</w:t>
            </w:r>
          </w:p>
          <w:p>
            <w:pPr>
              <w:bidi w:val="0"/>
              <w:rPr>
                <w:rFonts w:hint="eastAsia" w:ascii="Times New Roman" w:hAnsi="Times New Roman" w:eastAsia="宋体" w:cs="Times New Roman"/>
                <w:color w:val="auto"/>
                <w:sz w:val="24"/>
                <w:szCs w:val="24"/>
                <w:highlight w:val="none"/>
                <w:lang w:val="en-US" w:eastAsia="zh-CN"/>
              </w:rPr>
            </w:pPr>
            <w:r>
              <w:rPr>
                <w:rFonts w:hint="eastAsia"/>
                <w:color w:val="auto"/>
                <w:highlight w:val="none"/>
                <w:lang w:val="en-US" w:eastAsia="zh-CN"/>
              </w:rPr>
              <w:t>根据</w:t>
            </w:r>
            <w:r>
              <w:rPr>
                <w:rFonts w:hint="eastAsia"/>
                <w:color w:val="auto"/>
                <w:highlight w:val="none"/>
              </w:rPr>
              <w:t>《</w:t>
            </w:r>
            <w:r>
              <w:rPr>
                <w:rFonts w:hint="eastAsia"/>
                <w:color w:val="auto"/>
                <w:highlight w:val="none"/>
                <w:lang w:val="en-US" w:eastAsia="zh-CN"/>
              </w:rPr>
              <w:t>唐山高新区北部拓展区规划</w:t>
            </w:r>
            <w:r>
              <w:rPr>
                <w:rFonts w:hint="eastAsia"/>
                <w:color w:val="auto"/>
                <w:highlight w:val="none"/>
                <w:lang w:eastAsia="zh-CN"/>
              </w:rPr>
              <w:t>环境影响</w:t>
            </w:r>
            <w:r>
              <w:rPr>
                <w:rFonts w:hint="eastAsia"/>
                <w:color w:val="auto"/>
                <w:highlight w:val="none"/>
                <w:lang w:val="en-US" w:eastAsia="zh-CN"/>
              </w:rPr>
              <w:t>跟踪评价报告</w:t>
            </w:r>
            <w:r>
              <w:rPr>
                <w:rFonts w:hint="eastAsia"/>
                <w:color w:val="auto"/>
                <w:highlight w:val="none"/>
              </w:rPr>
              <w:t>》</w:t>
            </w:r>
            <w:r>
              <w:rPr>
                <w:rFonts w:hint="eastAsia"/>
                <w:color w:val="auto"/>
                <w:highlight w:val="none"/>
                <w:lang w:val="en-US" w:eastAsia="zh-CN"/>
              </w:rPr>
              <w:t>可知，</w:t>
            </w:r>
            <w:r>
              <w:rPr>
                <w:rFonts w:hint="eastAsia" w:cs="Times New Roman"/>
                <w:color w:val="auto"/>
                <w:sz w:val="24"/>
                <w:szCs w:val="24"/>
                <w:highlight w:val="none"/>
                <w:lang w:val="en-US" w:eastAsia="zh-CN"/>
              </w:rPr>
              <w:t>总体评价结论为</w:t>
            </w:r>
            <w:r>
              <w:rPr>
                <w:rFonts w:hint="eastAsia" w:ascii="Times New Roman" w:hAnsi="Times New Roman" w:eastAsia="宋体" w:cs="Times New Roman"/>
                <w:color w:val="auto"/>
                <w:sz w:val="24"/>
                <w:szCs w:val="24"/>
                <w:highlight w:val="none"/>
                <w:lang w:val="en-US" w:eastAsia="zh-CN"/>
              </w:rPr>
              <w:t>：“</w:t>
            </w:r>
            <w:r>
              <w:rPr>
                <w:rFonts w:hint="eastAsia"/>
                <w:color w:val="auto"/>
                <w:highlight w:val="none"/>
                <w:lang w:val="en-US" w:eastAsia="zh-CN"/>
              </w:rPr>
              <w:t>唐山高新区北部拓展区规划实施过程中，存在基础设施滞后，企业布局不符合规划等问题，应尽快整改到位。鉴于规划已经到期</w:t>
            </w:r>
            <w:r>
              <w:rPr>
                <w:color w:val="auto"/>
                <w:highlight w:val="none"/>
                <w:lang w:val="en-US" w:eastAsia="zh-CN"/>
              </w:rPr>
              <w:t>，</w:t>
            </w:r>
            <w:r>
              <w:rPr>
                <w:rFonts w:hint="eastAsia"/>
                <w:color w:val="auto"/>
                <w:highlight w:val="none"/>
                <w:lang w:val="en-US" w:eastAsia="zh-CN"/>
              </w:rPr>
              <w:t>建议</w:t>
            </w:r>
            <w:r>
              <w:rPr>
                <w:color w:val="auto"/>
                <w:highlight w:val="none"/>
                <w:lang w:val="en-US" w:eastAsia="zh-CN"/>
              </w:rPr>
              <w:t>根据</w:t>
            </w:r>
            <w:r>
              <w:rPr>
                <w:rFonts w:hint="eastAsia"/>
                <w:color w:val="auto"/>
                <w:highlight w:val="none"/>
                <w:lang w:val="en-US" w:eastAsia="zh-CN"/>
              </w:rPr>
              <w:t>新的国土空间规划及</w:t>
            </w:r>
            <w:r>
              <w:rPr>
                <w:color w:val="auto"/>
                <w:highlight w:val="none"/>
                <w:lang w:val="en-US" w:eastAsia="zh-CN"/>
              </w:rPr>
              <w:t>本评价提出的</w:t>
            </w:r>
            <w:r>
              <w:rPr>
                <w:rFonts w:hint="eastAsia"/>
                <w:color w:val="auto"/>
                <w:highlight w:val="none"/>
                <w:lang w:val="en-US" w:eastAsia="zh-CN"/>
              </w:rPr>
              <w:t>规划</w:t>
            </w:r>
            <w:r>
              <w:rPr>
                <w:color w:val="auto"/>
                <w:highlight w:val="none"/>
                <w:lang w:val="en-US" w:eastAsia="zh-CN"/>
              </w:rPr>
              <w:t>修订建议</w:t>
            </w:r>
            <w:r>
              <w:rPr>
                <w:rFonts w:hint="eastAsia"/>
                <w:color w:val="auto"/>
                <w:highlight w:val="none"/>
                <w:lang w:val="en-US" w:eastAsia="zh-CN"/>
              </w:rPr>
              <w:t>尽快启动新一轮总体规划的编制</w:t>
            </w:r>
            <w:r>
              <w:rPr>
                <w:color w:val="auto"/>
                <w:highlight w:val="none"/>
                <w:lang w:val="en-US" w:eastAsia="zh-CN"/>
              </w:rPr>
              <w:t>，并及时开展规划环境影响评价工作</w:t>
            </w:r>
            <w:r>
              <w:rPr>
                <w:rFonts w:hint="eastAsia" w:ascii="Times New Roman" w:hAnsi="Times New Roman" w:eastAsia="宋体" w:cs="Times New Roman"/>
                <w:color w:val="auto"/>
                <w:sz w:val="24"/>
                <w:szCs w:val="24"/>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本项目位于</w:t>
            </w:r>
            <w:r>
              <w:rPr>
                <w:rFonts w:hint="eastAsia"/>
                <w:color w:val="auto"/>
                <w:sz w:val="24"/>
                <w:szCs w:val="24"/>
                <w:highlight w:val="none"/>
                <w:lang w:val="en-US" w:eastAsia="zh-CN"/>
              </w:rPr>
              <w:t>唐山市高新区学院北路1718-1号，属于</w:t>
            </w:r>
            <w:r>
              <w:rPr>
                <w:rFonts w:hint="eastAsia"/>
                <w:color w:val="auto"/>
                <w:highlight w:val="none"/>
                <w:lang w:val="en-US" w:eastAsia="zh-CN"/>
              </w:rPr>
              <w:t>西部产业组团，主要对现有石墨烯电发热元件生产线进行改造，调整产品方案，购置石墨烯电发热膜相关设备，新增年产石墨烯电发热膜10000套/a，同时，新建节能速热电锅炉组装生产线，将石墨烯电发热体生产线生产的石墨烯电发热体与进购的机箱外壳、触摸控制板、耐高温线等零配件采用手工和螺丝进行组装</w:t>
            </w:r>
            <w:r>
              <w:rPr>
                <w:rFonts w:hint="eastAsia" w:ascii="Times New Roman" w:hAnsi="Times New Roman" w:eastAsia="宋体" w:cs="Times New Roman"/>
                <w:i w:val="0"/>
                <w:color w:val="auto"/>
                <w:kern w:val="0"/>
                <w:sz w:val="24"/>
                <w:szCs w:val="24"/>
                <w:u w:val="none"/>
                <w:lang w:val="en-US" w:eastAsia="zh-CN" w:bidi="ar"/>
              </w:rPr>
              <w:t>，生产节能速热电锅炉，</w:t>
            </w:r>
            <w:r>
              <w:rPr>
                <w:rFonts w:hint="eastAsia"/>
                <w:color w:val="auto"/>
                <w:highlight w:val="none"/>
                <w:lang w:val="en-US" w:eastAsia="zh-CN"/>
              </w:rPr>
              <w:t>属于新材料产业，符合北部拓展区西部产业组团产业定位。</w:t>
            </w:r>
            <w:r>
              <w:rPr>
                <w:rFonts w:hint="default" w:ascii="Times New Roman" w:hAnsi="Times New Roman" w:eastAsia="宋体" w:cs="Times New Roman"/>
                <w:color w:val="auto"/>
                <w:sz w:val="24"/>
                <w:szCs w:val="24"/>
                <w:highlight w:val="none"/>
                <w:lang w:val="en-US" w:eastAsia="zh-CN"/>
              </w:rPr>
              <w:t>因此，本项目符合规划环境影响评价结论的要求</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3、与规划环境影响评价审查意见符合性分析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eastAsia="zh-CN"/>
              </w:rPr>
            </w:pPr>
            <w:r>
              <w:rPr>
                <w:rFonts w:hint="eastAsia"/>
                <w:color w:val="auto"/>
                <w:highlight w:val="none"/>
                <w:lang w:eastAsia="zh-CN"/>
              </w:rPr>
              <w:t>根据河北省</w:t>
            </w:r>
            <w:r>
              <w:rPr>
                <w:rFonts w:hint="eastAsia"/>
                <w:color w:val="auto"/>
                <w:highlight w:val="none"/>
                <w:lang w:val="en-US" w:eastAsia="zh-CN"/>
              </w:rPr>
              <w:t>环境保护</w:t>
            </w:r>
            <w:r>
              <w:rPr>
                <w:rFonts w:hint="eastAsia"/>
                <w:color w:val="auto"/>
                <w:highlight w:val="none"/>
                <w:lang w:eastAsia="zh-CN"/>
              </w:rPr>
              <w:t>厅出具的《关于转送</w:t>
            </w:r>
            <w:r>
              <w:rPr>
                <w:rFonts w:hint="eastAsia"/>
                <w:color w:val="auto"/>
                <w:highlight w:val="none"/>
                <w:lang w:val="en-US" w:eastAsia="zh-CN"/>
              </w:rPr>
              <w:t>唐山高新区北部拓展区规划环境影响报告书审查意见的函</w:t>
            </w:r>
            <w:r>
              <w:rPr>
                <w:rFonts w:hint="eastAsia"/>
                <w:color w:val="auto"/>
                <w:highlight w:val="none"/>
                <w:lang w:eastAsia="zh-CN"/>
              </w:rPr>
              <w:t>》（冀环评函[20</w:t>
            </w:r>
            <w:r>
              <w:rPr>
                <w:rFonts w:hint="eastAsia"/>
                <w:color w:val="auto"/>
                <w:highlight w:val="none"/>
                <w:lang w:val="en-US" w:eastAsia="zh-CN"/>
              </w:rPr>
              <w:t>14</w:t>
            </w:r>
            <w:r>
              <w:rPr>
                <w:rFonts w:hint="eastAsia"/>
                <w:color w:val="auto"/>
                <w:highlight w:val="none"/>
                <w:lang w:eastAsia="zh-CN"/>
              </w:rPr>
              <w:t xml:space="preserve">] </w:t>
            </w:r>
            <w:r>
              <w:rPr>
                <w:rFonts w:hint="eastAsia"/>
                <w:color w:val="auto"/>
                <w:highlight w:val="none"/>
                <w:lang w:val="en-US" w:eastAsia="zh-CN"/>
              </w:rPr>
              <w:t>1011</w:t>
            </w:r>
            <w:r>
              <w:rPr>
                <w:rFonts w:hint="eastAsia"/>
                <w:color w:val="auto"/>
                <w:highlight w:val="none"/>
                <w:lang w:eastAsia="zh-CN"/>
              </w:rPr>
              <w:t>号），项目与规划环评审查意见的符合性分析详见下表。</w:t>
            </w:r>
          </w:p>
          <w:p>
            <w:pPr>
              <w:pStyle w:val="31"/>
              <w:bidi w:val="0"/>
              <w:rPr>
                <w:rFonts w:hint="eastAsia"/>
                <w:color w:val="auto"/>
                <w:highlight w:val="none"/>
              </w:rPr>
            </w:pPr>
            <w:r>
              <w:rPr>
                <w:rFonts w:hint="eastAsia"/>
                <w:color w:val="auto"/>
                <w:highlight w:val="none"/>
              </w:rPr>
              <w:t>表</w:t>
            </w:r>
            <w:r>
              <w:rPr>
                <w:rFonts w:hint="eastAsia"/>
                <w:color w:val="auto"/>
                <w:highlight w:val="none"/>
                <w:lang w:val="en-US" w:eastAsia="zh-CN"/>
              </w:rPr>
              <w:t xml:space="preserve">1  </w:t>
            </w:r>
            <w:r>
              <w:rPr>
                <w:rFonts w:hint="eastAsia"/>
                <w:color w:val="auto"/>
                <w:highlight w:val="none"/>
              </w:rPr>
              <w:t>园区</w:t>
            </w:r>
            <w:r>
              <w:rPr>
                <w:rFonts w:hint="eastAsia"/>
                <w:color w:val="auto"/>
                <w:highlight w:val="none"/>
                <w:lang w:eastAsia="zh-CN"/>
              </w:rPr>
              <w:t>规划环评审查意见</w:t>
            </w:r>
            <w:r>
              <w:rPr>
                <w:rFonts w:hint="eastAsia"/>
                <w:color w:val="auto"/>
                <w:highlight w:val="none"/>
              </w:rPr>
              <w:t>符合性分析一览表</w:t>
            </w:r>
          </w:p>
          <w:tbl>
            <w:tblPr>
              <w:tblStyle w:val="24"/>
              <w:tblW w:w="742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3"/>
              <w:gridCol w:w="3960"/>
              <w:gridCol w:w="2154"/>
              <w:gridCol w:w="8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园区审查意见</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情况</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30"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强化循环经济和低碳经济理念，贯彻清洁生产、达标排放、总量控制原则、做到环境建设与开发区建设同步规划、同步实施、同步发展，做到产业发展方向与循环经济产业链条延伸相协调，经济效益、社会效益与环境效益相统一，将开发区建成环境保护与经济协调发展的新型开发区。</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本项目污染物排放均满足排放</w:t>
                  </w:r>
                  <w:r>
                    <w:rPr>
                      <w:rFonts w:hint="eastAsia" w:cs="Times New Roman"/>
                      <w:color w:val="auto"/>
                      <w:sz w:val="21"/>
                      <w:szCs w:val="21"/>
                      <w:highlight w:val="none"/>
                      <w:lang w:val="en-US" w:eastAsia="zh-CN"/>
                    </w:rPr>
                    <w:t>标准</w:t>
                  </w:r>
                  <w:r>
                    <w:rPr>
                      <w:rFonts w:hint="eastAsia" w:ascii="Times New Roman" w:hAnsi="Times New Roman" w:eastAsia="宋体" w:cs="Times New Roman"/>
                      <w:color w:val="auto"/>
                      <w:sz w:val="21"/>
                      <w:szCs w:val="21"/>
                      <w:highlight w:val="none"/>
                      <w:lang w:val="en-US" w:eastAsia="zh-CN"/>
                    </w:rPr>
                    <w:t>要求。</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3"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严格项目准入，科学规划发展产业。开发区发展要与区域生态功能相协调，符合国家产业政策。入区企业应符合《产业结构调整指导目录（2011年本）》、《关于抑制部分行业产能过剩和重复建设引导产业健康发展的若干意见》和《河北省人民政府关于河北省区域禁（限）批建设项目实施意见（试行）》等文件具体的规定要求，严防三类工业项目进入园。</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本项目不在《产业结构调整指导目录（2019年本）》（2021年修订）中限制类、淘汰类项目之列，同时不在《河北省新增限制和淘汰类产业目录》（2015年版）之内，不属于三类工业项目。</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22"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科学调整开发区规划布局和范围。开发区逐步形成以一、二类工业用地为主导的规划格局。重点发展一类工业的高新技术产业和新兴加工制造业，远期扩区结合产业区的发展统一考虑，仓储用地以一类物流仓储用地为主，禁止设置三类物流仓储用地。</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本项目占地为</w:t>
                  </w:r>
                  <w:r>
                    <w:rPr>
                      <w:rFonts w:hint="eastAsia" w:cs="Times New Roman"/>
                      <w:color w:val="auto"/>
                      <w:sz w:val="21"/>
                      <w:szCs w:val="21"/>
                      <w:highlight w:val="none"/>
                      <w:lang w:val="en-US" w:eastAsia="zh-CN"/>
                    </w:rPr>
                    <w:t>工业用地</w:t>
                  </w:r>
                  <w:r>
                    <w:rPr>
                      <w:rFonts w:hint="eastAsia" w:ascii="Times New Roman" w:hAnsi="Times New Roman" w:eastAsia="宋体" w:cs="Times New Roman"/>
                      <w:color w:val="auto"/>
                      <w:sz w:val="21"/>
                      <w:szCs w:val="21"/>
                      <w:highlight w:val="none"/>
                      <w:lang w:val="en-US" w:eastAsia="zh-CN"/>
                    </w:rPr>
                    <w:t>，污染较小</w:t>
                  </w:r>
                  <w:r>
                    <w:rPr>
                      <w:rFonts w:hint="eastAsia" w:cs="Times New Roman"/>
                      <w:color w:val="auto"/>
                      <w:sz w:val="21"/>
                      <w:szCs w:val="21"/>
                      <w:highlight w:val="none"/>
                      <w:lang w:val="en-US" w:eastAsia="zh-CN"/>
                    </w:rPr>
                    <w:t>。</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3"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注重园区发展与水资源承载力相协调。提高水资源利用率和再生水回用率，做到以水定产，以水定规模。</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项目不属于高耗水行业。</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调整土地利用规划，严格执行国家土地管理政策。对占用的耕地实施先补后占，实现“占补平衡”，确保项目占地符合国家相关要求</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eastAsia="宋体" w:cs="Times New Roman"/>
                      <w:color w:val="auto"/>
                      <w:sz w:val="21"/>
                      <w:szCs w:val="21"/>
                      <w:highlight w:val="none"/>
                      <w:lang w:val="en-US" w:eastAsia="zh-CN"/>
                    </w:rPr>
                    <w:t>在现有厂区内建设，不新增占地</w:t>
                  </w:r>
                  <w:r>
                    <w:rPr>
                      <w:rFonts w:hint="eastAsia" w:cs="Times New Roman"/>
                      <w:color w:val="auto"/>
                      <w:sz w:val="21"/>
                      <w:szCs w:val="21"/>
                      <w:highlight w:val="none"/>
                      <w:lang w:val="en-US" w:eastAsia="zh-CN"/>
                    </w:rPr>
                    <w:t>，用地类型为工业用地。</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8"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强区域污染防治，做好环境应急预案制定、备案、修订等工作。严格落实各项环境风险防范措施和污染应急预案，加强风险事故情况下的环境污染防范措施和应急处置，防止对饮用水水源保护区等环境敏感点造成影响</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本项目完成后</w:t>
                  </w:r>
                  <w:r>
                    <w:rPr>
                      <w:rFonts w:hint="eastAsia" w:cs="Times New Roman"/>
                      <w:color w:val="auto"/>
                      <w:sz w:val="21"/>
                      <w:szCs w:val="21"/>
                      <w:highlight w:val="none"/>
                      <w:lang w:val="en-US" w:eastAsia="zh-CN"/>
                    </w:rPr>
                    <w:t>对突发环境事件应急预案进行修编</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3" w:hRule="atLeast"/>
                <w:jc w:val="center"/>
              </w:trPr>
              <w:tc>
                <w:tcPr>
                  <w:tcW w:w="50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39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属于规划范围内的建设项目应按审批权限和程序履行环评审批手续，开发区排污总量控制应符合省、市确定的总量控制要求。</w:t>
                  </w:r>
                </w:p>
              </w:tc>
              <w:tc>
                <w:tcPr>
                  <w:tcW w:w="2154"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本项目采用的污染防治措施可实现各类污染物达标排放，污染物排放总量满足总量控制指标的要求。</w:t>
                  </w:r>
                </w:p>
              </w:tc>
              <w:tc>
                <w:tcPr>
                  <w:tcW w:w="81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由上表可知，本项目的建设符合</w:t>
            </w:r>
            <w:r>
              <w:rPr>
                <w:rFonts w:hint="eastAsia"/>
                <w:color w:val="auto"/>
                <w:highlight w:val="none"/>
              </w:rPr>
              <w:t>园区</w:t>
            </w:r>
            <w:r>
              <w:rPr>
                <w:rFonts w:hint="eastAsia"/>
                <w:color w:val="auto"/>
                <w:highlight w:val="none"/>
                <w:lang w:eastAsia="zh-CN"/>
              </w:rPr>
              <w:t>规划环评审查意见</w:t>
            </w:r>
            <w:r>
              <w:rPr>
                <w:rFonts w:hint="eastAsia"/>
                <w:color w:val="auto"/>
                <w:highlight w:val="none"/>
                <w:lang w:val="en-US" w:eastAsia="zh-CN"/>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7" w:hRule="atLeast"/>
          <w:jc w:val="center"/>
        </w:trPr>
        <w:tc>
          <w:tcPr>
            <w:tcW w:w="172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其他符合性分析</w:t>
            </w:r>
          </w:p>
        </w:tc>
        <w:tc>
          <w:tcPr>
            <w:tcW w:w="7632" w:type="dxa"/>
            <w:gridSpan w:val="3"/>
            <w:noWrap w:val="0"/>
            <w:vAlign w:val="center"/>
          </w:tcPr>
          <w:p>
            <w:pPr>
              <w:pStyle w:val="21"/>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leftChars="0" w:right="0" w:firstLine="0" w:firstLineChars="0"/>
              <w:jc w:val="both"/>
              <w:textAlignment w:val="auto"/>
              <w:rPr>
                <w:rFonts w:hint="default" w:ascii="Times New Roman" w:hAnsi="Times New Roman" w:cs="Times New Roman"/>
                <w:b/>
                <w:bCs w:val="0"/>
                <w:color w:val="auto"/>
                <w:sz w:val="24"/>
                <w:szCs w:val="24"/>
                <w:highlight w:val="none"/>
              </w:rPr>
            </w:pPr>
            <w:r>
              <w:rPr>
                <w:rFonts w:hint="eastAsia" w:ascii="Times New Roman" w:hAnsi="Times New Roman" w:cs="Times New Roman"/>
                <w:b/>
                <w:bCs w:val="0"/>
                <w:color w:val="auto"/>
                <w:kern w:val="2"/>
                <w:sz w:val="24"/>
                <w:szCs w:val="24"/>
                <w:highlight w:val="none"/>
                <w:lang w:val="en-US" w:eastAsia="zh-CN" w:bidi="ar"/>
              </w:rPr>
              <w:t>1、产业政策</w:t>
            </w:r>
            <w:r>
              <w:rPr>
                <w:rFonts w:hint="default" w:ascii="Times New Roman" w:hAnsi="Times New Roman" w:cs="Times New Roman"/>
                <w:b/>
                <w:bCs w:val="0"/>
                <w:color w:val="auto"/>
                <w:kern w:val="2"/>
                <w:sz w:val="24"/>
                <w:szCs w:val="24"/>
                <w:highlight w:val="none"/>
                <w:lang w:bidi="ar"/>
              </w:rPr>
              <w:t>相符性分析</w:t>
            </w:r>
          </w:p>
          <w:p>
            <w:pPr>
              <w:keepNext w:val="0"/>
              <w:keepLines w:val="0"/>
              <w:pageBreakBefore w:val="0"/>
              <w:widowControl w:val="0"/>
              <w:tabs>
                <w:tab w:val="left" w:pos="3150"/>
              </w:tabs>
              <w:kinsoku/>
              <w:wordWrap/>
              <w:overflowPunct/>
              <w:topLinePunct w:val="0"/>
              <w:bidi w:val="0"/>
              <w:spacing w:line="480" w:lineRule="exact"/>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属于</w:t>
            </w:r>
            <w:r>
              <w:rPr>
                <w:rFonts w:ascii="Times New Roman" w:hAnsi="Times New Roman" w:eastAsia="宋体" w:cs="Times New Roman"/>
                <w:color w:val="auto"/>
                <w:sz w:val="24"/>
                <w:highlight w:val="none"/>
              </w:rPr>
              <w:t>《产业结构调整指导目录（201</w:t>
            </w:r>
            <w:r>
              <w:rPr>
                <w:rFonts w:hint="eastAsia" w:ascii="Times New Roman" w:hAnsi="Times New Roman" w:eastAsia="宋体" w:cs="Times New Roman"/>
                <w:color w:val="auto"/>
                <w:sz w:val="24"/>
                <w:highlight w:val="none"/>
              </w:rPr>
              <w:t>9</w:t>
            </w:r>
            <w:r>
              <w:rPr>
                <w:rFonts w:ascii="Times New Roman" w:hAnsi="Times New Roman" w:eastAsia="宋体" w:cs="Times New Roman"/>
                <w:color w:val="auto"/>
                <w:sz w:val="24"/>
                <w:highlight w:val="none"/>
              </w:rPr>
              <w:t>年本）》</w:t>
            </w:r>
            <w:r>
              <w:rPr>
                <w:rFonts w:hint="eastAsia" w:cs="Times New Roman"/>
                <w:color w:val="auto"/>
                <w:sz w:val="24"/>
                <w:highlight w:val="none"/>
                <w:lang w:eastAsia="zh-CN"/>
              </w:rPr>
              <w:t>（</w:t>
            </w:r>
            <w:r>
              <w:rPr>
                <w:rFonts w:hint="eastAsia" w:cs="Times New Roman"/>
                <w:color w:val="auto"/>
                <w:sz w:val="24"/>
                <w:highlight w:val="none"/>
                <w:lang w:val="en-US" w:eastAsia="zh-CN"/>
              </w:rPr>
              <w:t>2021年修订</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中</w:t>
            </w:r>
            <w:r>
              <w:rPr>
                <w:rFonts w:hint="eastAsia" w:cs="Times New Roman"/>
                <w:color w:val="auto"/>
                <w:sz w:val="24"/>
                <w:highlight w:val="none"/>
                <w:lang w:val="en-US" w:eastAsia="zh-CN"/>
              </w:rPr>
              <w:t>鼓励类-十二、建材-石墨烯材料生产及应用开发</w:t>
            </w:r>
            <w:r>
              <w:rPr>
                <w:rFonts w:ascii="Times New Roman" w:hAnsi="Times New Roman" w:eastAsia="宋体" w:cs="Times New Roman"/>
                <w:color w:val="auto"/>
                <w:sz w:val="24"/>
                <w:highlight w:val="none"/>
              </w:rPr>
              <w:t>，同时不在《河北省新增限制和淘汰类产业目录》</w:t>
            </w:r>
            <w:r>
              <w:rPr>
                <w:rFonts w:hint="eastAsia" w:cs="Times New Roman"/>
                <w:color w:val="auto"/>
                <w:sz w:val="24"/>
                <w:highlight w:val="none"/>
                <w:lang w:eastAsia="zh-CN"/>
              </w:rPr>
              <w:t>（</w:t>
            </w:r>
            <w:r>
              <w:rPr>
                <w:rFonts w:hint="eastAsia" w:cs="Times New Roman"/>
                <w:color w:val="auto"/>
                <w:sz w:val="24"/>
                <w:highlight w:val="none"/>
                <w:lang w:val="en-US" w:eastAsia="zh-CN"/>
              </w:rPr>
              <w:t>2015年版</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之内</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并</w:t>
            </w:r>
            <w:r>
              <w:rPr>
                <w:rFonts w:hint="eastAsia"/>
                <w:color w:val="auto"/>
                <w:sz w:val="24"/>
                <w:szCs w:val="24"/>
                <w:highlight w:val="none"/>
                <w:lang w:val="en-US" w:eastAsia="zh-CN"/>
              </w:rPr>
              <w:t>且本项目已通过唐山高新技术产业开发区行政审批局备案（唐高备字[2023]37号），因此，本项目符合国家及地方产业政策。</w:t>
            </w:r>
          </w:p>
          <w:p>
            <w:pPr>
              <w:numPr>
                <w:ilvl w:val="0"/>
                <w:numId w:val="0"/>
              </w:numPr>
              <w:ind w:leftChars="0"/>
              <w:rPr>
                <w:rFonts w:hint="default" w:ascii="Times New Roman" w:hAnsi="Times New Roman" w:cs="Times New Roman"/>
                <w:b/>
                <w:bCs/>
                <w:smallCaps w:val="0"/>
                <w:color w:val="auto"/>
                <w:spacing w:val="0"/>
                <w:position w:val="0"/>
                <w:sz w:val="24"/>
                <w:szCs w:val="24"/>
                <w:highlight w:val="none"/>
                <w:lang w:val="en-US" w:eastAsia="zh-CN"/>
              </w:rPr>
            </w:pPr>
            <w:r>
              <w:rPr>
                <w:rFonts w:hint="eastAsia" w:ascii="Times New Roman" w:hAnsi="Times New Roman" w:cs="Times New Roman"/>
                <w:b/>
                <w:bCs/>
                <w:smallCaps w:val="0"/>
                <w:color w:val="auto"/>
                <w:spacing w:val="0"/>
                <w:position w:val="0"/>
                <w:sz w:val="24"/>
                <w:szCs w:val="24"/>
                <w:highlight w:val="none"/>
                <w:lang w:val="en-US" w:eastAsia="zh-CN"/>
              </w:rPr>
              <w:t>2、</w:t>
            </w:r>
            <w:r>
              <w:rPr>
                <w:rFonts w:hint="eastAsia" w:cs="Times New Roman"/>
                <w:b/>
                <w:bCs/>
                <w:smallCaps w:val="0"/>
                <w:color w:val="auto"/>
                <w:spacing w:val="0"/>
                <w:position w:val="0"/>
                <w:sz w:val="24"/>
                <w:szCs w:val="24"/>
                <w:highlight w:val="none"/>
                <w:lang w:val="en-US" w:eastAsia="zh-CN"/>
              </w:rPr>
              <w:t>项目选址合理性分析</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规划符合性分析</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rPr>
            </w:pPr>
            <w:r>
              <w:rPr>
                <w:rFonts w:ascii="Times New Roman" w:hAnsi="Times New Roman" w:eastAsia="宋体" w:cs="Times New Roman"/>
                <w:color w:val="auto"/>
                <w:sz w:val="24"/>
                <w:szCs w:val="24"/>
                <w:highlight w:val="none"/>
                <w:lang w:val="zh-CN"/>
              </w:rPr>
              <w:t>本项目</w:t>
            </w:r>
            <w:r>
              <w:rPr>
                <w:rFonts w:hint="eastAsia" w:ascii="Times New Roman" w:hAnsi="Times New Roman" w:eastAsia="宋体" w:cs="Times New Roman"/>
                <w:color w:val="auto"/>
                <w:sz w:val="24"/>
                <w:szCs w:val="24"/>
                <w:highlight w:val="none"/>
                <w:lang w:val="zh-CN"/>
              </w:rPr>
              <w:t>位于</w:t>
            </w:r>
            <w:r>
              <w:rPr>
                <w:rFonts w:hint="eastAsia"/>
                <w:color w:val="auto"/>
                <w:sz w:val="24"/>
                <w:szCs w:val="24"/>
                <w:highlight w:val="none"/>
                <w:lang w:val="en-US" w:eastAsia="zh-CN"/>
              </w:rPr>
              <w:t>唐山市高新区学院北路1718-1号，唐山烯彤科技有限公司院内</w:t>
            </w:r>
            <w:r>
              <w:rPr>
                <w:rFonts w:hint="eastAsia" w:cs="Times New Roman"/>
                <w:color w:val="auto"/>
                <w:sz w:val="24"/>
                <w:szCs w:val="24"/>
                <w:highlight w:val="none"/>
                <w:lang w:val="en-US" w:eastAsia="zh-CN"/>
              </w:rPr>
              <w:t>，</w:t>
            </w:r>
            <w:r>
              <w:rPr>
                <w:rFonts w:hint="eastAsia"/>
                <w:color w:val="auto"/>
                <w:sz w:val="24"/>
                <w:highlight w:val="none"/>
              </w:rPr>
              <w:t>根据项目土地使用证可知，</w:t>
            </w:r>
            <w:r>
              <w:rPr>
                <w:color w:val="auto"/>
                <w:sz w:val="24"/>
                <w:highlight w:val="none"/>
              </w:rPr>
              <w:t>本项目占地类型为工业用地</w:t>
            </w:r>
            <w:r>
              <w:rPr>
                <w:rFonts w:hint="default" w:ascii="Times New Roman" w:hAnsi="Times New Roman" w:cs="Times New Roman"/>
                <w:color w:val="auto"/>
                <w:kern w:val="24"/>
                <w:sz w:val="24"/>
                <w:highlight w:val="none"/>
                <w:lang w:eastAsia="zh-CN"/>
              </w:rPr>
              <w:t>，符合用地性质</w:t>
            </w:r>
            <w:r>
              <w:rPr>
                <w:rFonts w:hint="eastAsia" w:eastAsia="宋体" w:cs="Times New Roman"/>
                <w:color w:val="auto"/>
                <w:sz w:val="24"/>
                <w:highlight w:val="none"/>
                <w:lang w:val="zh-CN" w:eastAsia="zh-CN"/>
              </w:rPr>
              <w:t>。</w:t>
            </w:r>
            <w:r>
              <w:rPr>
                <w:rFonts w:hint="eastAsia" w:cs="Times New Roman"/>
                <w:color w:val="auto"/>
                <w:sz w:val="24"/>
                <w:highlight w:val="none"/>
                <w:lang w:val="en-US" w:eastAsia="zh-CN"/>
              </w:rPr>
              <w:t>本项目主要对现有石墨烯电发热元件生产线进行改造，调整产品方案，购置石墨烯电发热膜相关设备，新增年产石墨烯电发热膜10000套/a，同时，新建节能速热电锅炉组装生产线，将石墨烯电发热体生产线生产的石墨烯电发热体与进购的机箱外壳、触摸控制板、耐高温线等零配件采用手工和螺丝进行组装，生产节能速热电锅炉，属于新材料产业，符合北部拓展区西部产业组团产业定位</w:t>
            </w:r>
            <w:r>
              <w:rPr>
                <w:rFonts w:hint="eastAsia" w:eastAsia="宋体" w:cs="Times New Roman"/>
                <w:color w:val="auto"/>
                <w:sz w:val="24"/>
                <w:highlight w:val="none"/>
                <w:lang w:val="zh-CN" w:eastAsia="zh-CN"/>
              </w:rPr>
              <w:t>。</w:t>
            </w:r>
            <w:r>
              <w:rPr>
                <w:rFonts w:hint="eastAsia" w:cs="Times New Roman"/>
                <w:color w:val="auto"/>
                <w:sz w:val="24"/>
                <w:highlight w:val="none"/>
                <w:lang w:val="en-US" w:eastAsia="zh-CN"/>
              </w:rPr>
              <w:t>因此</w:t>
            </w:r>
            <w:r>
              <w:rPr>
                <w:rFonts w:hint="eastAsia" w:eastAsia="宋体" w:cs="Times New Roman"/>
                <w:color w:val="auto"/>
                <w:sz w:val="24"/>
                <w:highlight w:val="none"/>
                <w:lang w:val="zh-CN" w:eastAsia="zh-CN"/>
              </w:rPr>
              <w:t>，项目的建设符合园区规划。</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val="zh-CN"/>
              </w:rPr>
              <w:t>）</w:t>
            </w:r>
            <w:r>
              <w:rPr>
                <w:rFonts w:hint="eastAsia" w:cs="Times New Roman"/>
                <w:color w:val="auto"/>
                <w:sz w:val="24"/>
                <w:szCs w:val="24"/>
                <w:highlight w:val="none"/>
                <w:lang w:val="en-US" w:eastAsia="zh-CN"/>
              </w:rPr>
              <w:t>选址符合性分析</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val="zh-CN"/>
              </w:rPr>
              <w:t>项目所在区域环境空气质量执行《环境空气质量标准》（GB3095-2012）中二级标准及其修改单；声环境质量执行《声环境质量标准》（GB3096-2008）</w:t>
            </w:r>
            <w:r>
              <w:rPr>
                <w:rFonts w:hint="eastAsia" w:cs="Times New Roman"/>
                <w:color w:val="auto"/>
                <w:sz w:val="24"/>
                <w:szCs w:val="24"/>
                <w:highlight w:val="none"/>
                <w:lang w:val="en-US" w:eastAsia="zh-CN"/>
              </w:rPr>
              <w:t>2</w:t>
            </w:r>
            <w:r>
              <w:rPr>
                <w:rFonts w:ascii="Times New Roman" w:hAnsi="Times New Roman" w:eastAsia="宋体" w:cs="Times New Roman"/>
                <w:color w:val="auto"/>
                <w:sz w:val="24"/>
                <w:szCs w:val="24"/>
                <w:highlight w:val="none"/>
                <w:lang w:val="zh-CN"/>
              </w:rPr>
              <w:t>类区标准。</w:t>
            </w:r>
            <w:r>
              <w:rPr>
                <w:rFonts w:hint="eastAsia" w:cs="Times New Roman"/>
                <w:color w:val="auto"/>
                <w:sz w:val="24"/>
                <w:szCs w:val="24"/>
                <w:highlight w:val="none"/>
                <w:lang w:eastAsia="zh-CN"/>
              </w:rPr>
              <w:t>项目所在区域环境空气属于不达标区，根据《京津冀及周边地区、汾渭平原2020—2021年秋冬季大气污染综合治理攻坚行动方案》、《唐山市2023年第一季度大气污染综合治理工作方案》可知，按照“分级、分类、分区域、分气象”原则，实施精准治理、精细管控，做到问题、时间、区位、对象和措施“五个精准”，推动大气环境质量持续有效改善，项目所在区域空气质量将会逐步得到改善</w:t>
            </w:r>
            <w:r>
              <w:rPr>
                <w:rFonts w:ascii="Times New Roman" w:hAnsi="Times New Roman" w:eastAsia="宋体" w:cs="Times New Roman"/>
                <w:color w:val="auto"/>
                <w:sz w:val="24"/>
                <w:szCs w:val="24"/>
                <w:highlight w:val="none"/>
              </w:rPr>
              <w:t>。</w:t>
            </w:r>
          </w:p>
          <w:p>
            <w:pPr>
              <w:pStyle w:val="23"/>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项目不在河北省生态保护红线区范围内，项目评价范围内无自然保护区、重点文物、风景名胜等需特殊保护区域，项目</w:t>
            </w:r>
            <w:r>
              <w:rPr>
                <w:rFonts w:hint="eastAsia"/>
                <w:color w:val="auto"/>
                <w:sz w:val="24"/>
                <w:szCs w:val="24"/>
                <w:highlight w:val="none"/>
                <w:lang w:val="en-US" w:eastAsia="zh-CN"/>
              </w:rPr>
              <w:t>厂界外500m范围内的环境敏感目标为东侧250m处的龙湖·天境尘林间居民区和东北侧285m处的凤城凯旋公馆2期居民区，</w:t>
            </w:r>
            <w:r>
              <w:rPr>
                <w:rFonts w:ascii="Times New Roman" w:hAnsi="Times New Roman" w:eastAsia="宋体" w:cs="Times New Roman"/>
                <w:color w:val="auto"/>
                <w:kern w:val="24"/>
                <w:sz w:val="24"/>
                <w:highlight w:val="none"/>
                <w:lang w:val="zh-CN"/>
              </w:rPr>
              <w:t>采取环评提出的各项环保治理措施后，项目的实施对</w:t>
            </w:r>
            <w:r>
              <w:rPr>
                <w:rFonts w:hint="eastAsia" w:cs="Times New Roman"/>
                <w:color w:val="auto"/>
                <w:kern w:val="24"/>
                <w:sz w:val="24"/>
                <w:highlight w:val="none"/>
                <w:lang w:val="en-US" w:eastAsia="zh-CN"/>
              </w:rPr>
              <w:t>环境敏感目标</w:t>
            </w:r>
            <w:r>
              <w:rPr>
                <w:rFonts w:ascii="Times New Roman" w:hAnsi="Times New Roman" w:eastAsia="宋体" w:cs="Times New Roman"/>
                <w:color w:val="auto"/>
                <w:kern w:val="24"/>
                <w:sz w:val="24"/>
                <w:highlight w:val="none"/>
                <w:lang w:val="zh-CN"/>
              </w:rPr>
              <w:t>产生</w:t>
            </w:r>
            <w:r>
              <w:rPr>
                <w:rFonts w:hint="eastAsia" w:ascii="Times New Roman" w:hAnsi="Times New Roman" w:eastAsia="宋体" w:cs="Times New Roman"/>
                <w:color w:val="auto"/>
                <w:kern w:val="24"/>
                <w:sz w:val="24"/>
                <w:highlight w:val="none"/>
                <w:lang w:val="zh-CN" w:eastAsia="zh-CN"/>
              </w:rPr>
              <w:t>的</w:t>
            </w:r>
            <w:r>
              <w:rPr>
                <w:rFonts w:ascii="Times New Roman" w:hAnsi="Times New Roman" w:eastAsia="宋体" w:cs="Times New Roman"/>
                <w:color w:val="auto"/>
                <w:kern w:val="24"/>
                <w:sz w:val="24"/>
                <w:highlight w:val="none"/>
                <w:lang w:val="zh-CN"/>
              </w:rPr>
              <w:t>影响</w:t>
            </w:r>
            <w:r>
              <w:rPr>
                <w:rFonts w:hint="eastAsia" w:ascii="Times New Roman" w:hAnsi="Times New Roman" w:eastAsia="宋体" w:cs="Times New Roman"/>
                <w:color w:val="auto"/>
                <w:kern w:val="24"/>
                <w:sz w:val="24"/>
                <w:highlight w:val="none"/>
                <w:lang w:val="zh-CN" w:eastAsia="zh-CN"/>
              </w:rPr>
              <w:t>较小</w:t>
            </w:r>
            <w:r>
              <w:rPr>
                <w:rFonts w:ascii="Times New Roman" w:hAnsi="Times New Roman" w:eastAsia="宋体" w:cs="Times New Roman"/>
                <w:color w:val="auto"/>
                <w:kern w:val="24"/>
                <w:sz w:val="24"/>
                <w:highlight w:val="none"/>
              </w:rPr>
              <w:t>。</w:t>
            </w:r>
            <w:r>
              <w:rPr>
                <w:rFonts w:hint="eastAsia"/>
                <w:color w:val="auto"/>
                <w:sz w:val="24"/>
                <w:szCs w:val="24"/>
                <w:highlight w:val="none"/>
                <w:lang w:val="en-US" w:eastAsia="zh-CN"/>
              </w:rPr>
              <w:t>因此，本项目选址合理。</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3、与“</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shd w:val="clear" w:color="auto" w:fill="auto"/>
              </w:rPr>
            </w:pPr>
            <w:r>
              <w:rPr>
                <w:rFonts w:hint="eastAsia" w:cs="Times New Roman"/>
                <w:color w:val="auto"/>
                <w:sz w:val="24"/>
                <w:szCs w:val="24"/>
                <w:highlight w:val="none"/>
                <w:shd w:val="clear" w:color="auto" w:fill="auto"/>
                <w:lang w:val="en-US" w:eastAsia="zh-CN"/>
              </w:rPr>
              <w:t>（1）生态保护红线及生态管控空间</w:t>
            </w:r>
          </w:p>
          <w:p>
            <w:pPr>
              <w:ind w:firstLine="480"/>
              <w:rPr>
                <w:rFonts w:hint="default" w:eastAsia="宋体" w:cs="Times New Roman"/>
                <w:color w:val="auto"/>
                <w:highlight w:val="none"/>
                <w:lang w:val="en-US" w:eastAsia="zh-CN"/>
              </w:rPr>
            </w:pPr>
            <w:r>
              <w:rPr>
                <w:rFonts w:hint="eastAsia" w:cs="Times New Roman"/>
                <w:color w:val="auto"/>
                <w:highlight w:val="none"/>
              </w:rPr>
              <w:t>①</w:t>
            </w:r>
            <w:r>
              <w:rPr>
                <w:rFonts w:hint="eastAsia" w:cs="Times New Roman"/>
                <w:color w:val="auto"/>
                <w:highlight w:val="none"/>
                <w:lang w:val="en-US" w:eastAsia="zh-CN"/>
              </w:rPr>
              <w:t>生态保护红线</w:t>
            </w:r>
          </w:p>
          <w:p>
            <w:pPr>
              <w:ind w:firstLine="480"/>
              <w:rPr>
                <w:rFonts w:cs="Times New Roman"/>
                <w:color w:val="auto"/>
                <w:highlight w:val="none"/>
              </w:rPr>
            </w:pPr>
            <w:r>
              <w:rPr>
                <w:rFonts w:cs="Times New Roman"/>
                <w:color w:val="auto"/>
                <w:highlight w:val="none"/>
              </w:rPr>
              <w:t>根据《河北省</w:t>
            </w:r>
            <w:r>
              <w:rPr>
                <w:rFonts w:hint="eastAsia" w:ascii="宋体" w:hAnsi="宋体" w:eastAsia="宋体" w:cs="宋体"/>
                <w:color w:val="auto"/>
                <w:highlight w:val="none"/>
              </w:rPr>
              <w:t>“三线一单”</w:t>
            </w:r>
            <w:r>
              <w:rPr>
                <w:rFonts w:cs="Times New Roman"/>
                <w:color w:val="auto"/>
                <w:highlight w:val="none"/>
              </w:rPr>
              <w:t>成果》，河北省生态空间面积为70791.77 平方公里，占全省陆域国土面积的37.53%，主要分布在张家口、承德、石家庄、秦皇岛、保定等地区。根据《河北省人民政府关于发布&lt;河北省生态保护红线&gt; 的通知》（冀政字</w:t>
            </w:r>
            <w:r>
              <w:rPr>
                <w:rFonts w:hint="eastAsia" w:cs="Times New Roman"/>
                <w:color w:val="auto"/>
                <w:highlight w:val="none"/>
                <w:lang w:val="en-US" w:eastAsia="zh-CN"/>
              </w:rPr>
              <w:t>[</w:t>
            </w:r>
            <w:r>
              <w:rPr>
                <w:rFonts w:cs="Times New Roman"/>
                <w:color w:val="auto"/>
                <w:highlight w:val="none"/>
              </w:rPr>
              <w:t>2018</w:t>
            </w:r>
            <w:r>
              <w:rPr>
                <w:rFonts w:hint="eastAsia" w:cs="Times New Roman"/>
                <w:color w:val="auto"/>
                <w:highlight w:val="none"/>
                <w:lang w:val="en-US" w:eastAsia="zh-CN"/>
              </w:rPr>
              <w:t>]</w:t>
            </w:r>
            <w:r>
              <w:rPr>
                <w:rFonts w:cs="Times New Roman"/>
                <w:color w:val="auto"/>
                <w:highlight w:val="none"/>
              </w:rPr>
              <w:t>23号），陆域生态保护红线面积38633.18平方公里，占全省国土面积的20.49%，主要分布在张家口、承德地区，占生态保护红线总面积的70%，其次为石家庄、邯郸、邢台及保定的太行山前地区。将除陆域生态保护红线外的生态空间，划为一般生态空间，面积为32158.59平方公里，占全省陆域国土面积的17.04%。</w:t>
            </w:r>
          </w:p>
          <w:p>
            <w:pPr>
              <w:ind w:firstLine="480"/>
              <w:rPr>
                <w:rFonts w:cs="Times New Roman"/>
                <w:color w:val="auto"/>
                <w:highlight w:val="none"/>
              </w:rPr>
            </w:pPr>
            <w:r>
              <w:rPr>
                <w:rFonts w:cs="Times New Roman"/>
                <w:color w:val="auto"/>
                <w:highlight w:val="none"/>
              </w:rPr>
              <w:t>唐山市陆域生态空间面积为4012.97km²，占全市陆域国土面积的 29.19%，主要分布在遵化市、迁西县、迁安市等北部山区和曹妃甸区、乐亭县、唐山国际旅游岛等南部沿海地区。将除陆域生态保护红线外的生态空间划为一般生态空间，面积为2927.5km²，占全市陆域国土面积的21.29%。主要分布在遵化市、迁西县、迁安市等北部山区和曹妃甸区、乐亭县等南部沿海地区。</w:t>
            </w:r>
          </w:p>
          <w:p>
            <w:pPr>
              <w:bidi w:val="0"/>
              <w:rPr>
                <w:color w:val="auto"/>
                <w:highlight w:val="none"/>
              </w:rPr>
            </w:pPr>
            <w:r>
              <w:rPr>
                <w:color w:val="auto"/>
                <w:highlight w:val="none"/>
              </w:rPr>
              <w:t>唐山高新区北部拓展区位于唐山市区北部，不涉及生态保护红线及一般生态空间管控范围。</w:t>
            </w:r>
          </w:p>
          <w:p>
            <w:pPr>
              <w:adjustRightInd w:val="0"/>
              <w:snapToGrid w:val="0"/>
              <w:spacing w:line="480" w:lineRule="exact"/>
              <w:ind w:firstLine="480" w:firstLineChars="200"/>
              <w:textAlignment w:val="baseline"/>
              <w:rPr>
                <w:rFonts w:hint="default" w:eastAsia="宋体" w:cs="Times New Roman"/>
                <w:color w:val="auto"/>
                <w:highlight w:val="none"/>
                <w:lang w:val="en-US" w:eastAsia="zh-CN"/>
              </w:rPr>
            </w:pPr>
            <w:r>
              <w:rPr>
                <w:rFonts w:hint="eastAsia" w:cs="Times New Roman"/>
                <w:color w:val="auto"/>
                <w:highlight w:val="none"/>
              </w:rPr>
              <w:t>②</w:t>
            </w:r>
            <w:r>
              <w:rPr>
                <w:rFonts w:hint="eastAsia" w:cs="Times New Roman"/>
                <w:color w:val="auto"/>
                <w:highlight w:val="none"/>
                <w:lang w:val="en-US" w:eastAsia="zh-CN"/>
              </w:rPr>
              <w:t>生态管控空间</w:t>
            </w:r>
          </w:p>
          <w:p>
            <w:pPr>
              <w:adjustRightInd w:val="0"/>
              <w:snapToGrid w:val="0"/>
              <w:spacing w:line="480" w:lineRule="exact"/>
              <w:ind w:firstLine="480" w:firstLineChars="200"/>
              <w:textAlignment w:val="baseline"/>
              <w:rPr>
                <w:rFonts w:cs="Times New Roman"/>
                <w:color w:val="auto"/>
                <w:highlight w:val="none"/>
              </w:rPr>
            </w:pPr>
            <w:r>
              <w:rPr>
                <w:rFonts w:cs="Times New Roman"/>
                <w:color w:val="auto"/>
                <w:highlight w:val="none"/>
              </w:rPr>
              <w:t>根据《唐山市</w:t>
            </w:r>
            <w:r>
              <w:rPr>
                <w:rFonts w:hint="eastAsia" w:ascii="宋体" w:hAnsi="宋体" w:eastAsia="宋体" w:cs="宋体"/>
                <w:color w:val="auto"/>
                <w:highlight w:val="none"/>
              </w:rPr>
              <w:t>“三线一单”</w:t>
            </w:r>
            <w:r>
              <w:rPr>
                <w:rFonts w:cs="Times New Roman"/>
                <w:color w:val="auto"/>
                <w:highlight w:val="none"/>
              </w:rPr>
              <w:t>》，中部平原（玉田县、丰润区、滦州市、古冶区、开平区、路北区、路南区、高新技术产业开发区、开发区、芦台经济开发区、滦南县平原地区）生态功能定位：饮用水水源保护区，耕地保护重要区，人居安全功能保障区。其管控要求：①严格控制并逐步减少地下水开采量，建立科学的用水制度，保证生态用水。②实施断流河流生态补水，陡河等环城水系采取岸滩修复、清淤清污、生态护岸建设等措施，维护河岸淡水湿地生态系统功能。③加大水污染治理力度。发展生态农业，减少农业面源污染；推进清洁生产和循环经济，治理工业污染源，提高城镇生活污水处理率。④严格控制城市空间及城镇发展边界，合理安排新增建设用地规模，集约利用空间资源，促进城市功能区紧凑式布局，控制生态空间范围内的开发强度，逐步退出影响主导生态系统服务功能的开发建设活动。⑤禁止使用禁用农药和重金属等有毒有害物质超标的肥料。加强对土壤中农药残留的监控，提高农产品中农药残留预警能力。推进农药包装废弃物回收、贮存和处理处置体系建设。⑥控制生态空间范围内的开发强度，逐步退出影响主导生态系统服务功能的开发建设活动。</w:t>
            </w:r>
          </w:p>
          <w:p>
            <w:pPr>
              <w:pStyle w:val="5"/>
              <w:rPr>
                <w:rFonts w:hint="eastAsia" w:cs="Times New Roman"/>
                <w:color w:val="auto"/>
                <w:highlight w:val="none"/>
                <w:lang w:val="en-US" w:eastAsia="zh-CN"/>
              </w:rPr>
            </w:pPr>
            <w:r>
              <w:rPr>
                <w:rFonts w:hint="eastAsia"/>
                <w:color w:val="auto"/>
                <w:highlight w:val="none"/>
                <w:lang w:val="en-US" w:eastAsia="zh-CN"/>
              </w:rPr>
              <w:t>开发区</w:t>
            </w:r>
            <w:r>
              <w:rPr>
                <w:rFonts w:cs="Times New Roman"/>
                <w:color w:val="auto"/>
                <w:highlight w:val="none"/>
              </w:rPr>
              <w:t>生态空间管制清单</w:t>
            </w:r>
            <w:r>
              <w:rPr>
                <w:rFonts w:hint="eastAsia" w:cs="Times New Roman"/>
                <w:color w:val="auto"/>
                <w:highlight w:val="none"/>
                <w:lang w:val="en-US" w:eastAsia="zh-CN"/>
              </w:rPr>
              <w:t>见下表。</w:t>
            </w:r>
          </w:p>
          <w:p>
            <w:pPr>
              <w:pStyle w:val="31"/>
              <w:numPr>
                <w:ilvl w:val="0"/>
                <w:numId w:val="0"/>
              </w:numPr>
              <w:bidi w:val="0"/>
              <w:ind w:left="208" w:leftChars="0"/>
              <w:rPr>
                <w:color w:val="auto"/>
                <w:highlight w:val="none"/>
              </w:rPr>
            </w:pPr>
            <w:r>
              <w:rPr>
                <w:rFonts w:hint="eastAsia"/>
                <w:color w:val="auto"/>
                <w:highlight w:val="none"/>
                <w:lang w:val="en-US" w:eastAsia="zh-CN"/>
              </w:rPr>
              <w:t xml:space="preserve">表2  </w:t>
            </w:r>
            <w:r>
              <w:rPr>
                <w:color w:val="auto"/>
                <w:highlight w:val="none"/>
              </w:rPr>
              <w:t>开发区生态空间管制清单一览表</w:t>
            </w:r>
          </w:p>
          <w:tbl>
            <w:tblPr>
              <w:tblStyle w:val="24"/>
              <w:tblW w:w="7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76"/>
              <w:gridCol w:w="522"/>
              <w:gridCol w:w="617"/>
              <w:gridCol w:w="388"/>
              <w:gridCol w:w="935"/>
              <w:gridCol w:w="914"/>
              <w:gridCol w:w="2437"/>
              <w:gridCol w:w="12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370"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序号</w:t>
                  </w:r>
                </w:p>
              </w:tc>
              <w:tc>
                <w:tcPr>
                  <w:tcW w:w="514"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类别</w:t>
                  </w:r>
                </w:p>
              </w:tc>
              <w:tc>
                <w:tcPr>
                  <w:tcW w:w="608"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所属系统</w:t>
                  </w:r>
                </w:p>
              </w:tc>
              <w:tc>
                <w:tcPr>
                  <w:tcW w:w="1303" w:type="dxa"/>
                  <w:gridSpan w:val="2"/>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所含空间单元</w:t>
                  </w:r>
                </w:p>
              </w:tc>
              <w:tc>
                <w:tcPr>
                  <w:tcW w:w="900"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现状用地类型</w:t>
                  </w:r>
                </w:p>
              </w:tc>
              <w:tc>
                <w:tcPr>
                  <w:tcW w:w="2400"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管控要求</w:t>
                  </w:r>
                </w:p>
              </w:tc>
              <w:tc>
                <w:tcPr>
                  <w:tcW w:w="1218" w:type="dxa"/>
                  <w:tcBorders>
                    <w:tl2br w:val="nil"/>
                    <w:tr2bl w:val="nil"/>
                  </w:tcBorders>
                  <w:vAlign w:val="center"/>
                </w:tcPr>
                <w:p>
                  <w:pPr>
                    <w:pStyle w:val="57"/>
                    <w:spacing w:line="280" w:lineRule="exact"/>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70" w:type="dxa"/>
                  <w:vMerge w:val="restart"/>
                  <w:tcBorders>
                    <w:tl2br w:val="nil"/>
                    <w:tr2bl w:val="nil"/>
                  </w:tcBorders>
                  <w:vAlign w:val="center"/>
                </w:tcPr>
                <w:p>
                  <w:pPr>
                    <w:pStyle w:val="57"/>
                    <w:numPr>
                      <w:ilvl w:val="0"/>
                      <w:numId w:val="2"/>
                    </w:numPr>
                    <w:spacing w:line="280" w:lineRule="exact"/>
                    <w:ind w:left="0" w:leftChars="0" w:firstLine="0" w:firstLineChars="0"/>
                    <w:rPr>
                      <w:rFonts w:cs="Times New Roman"/>
                      <w:color w:val="auto"/>
                      <w:szCs w:val="21"/>
                      <w:highlight w:val="none"/>
                    </w:rPr>
                  </w:pPr>
                </w:p>
              </w:tc>
              <w:tc>
                <w:tcPr>
                  <w:tcW w:w="514" w:type="dxa"/>
                  <w:vMerge w:val="restart"/>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禁止建设区</w:t>
                  </w:r>
                </w:p>
              </w:tc>
              <w:tc>
                <w:tcPr>
                  <w:tcW w:w="608" w:type="dxa"/>
                  <w:vMerge w:val="restart"/>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交通设施禁建区</w:t>
                  </w:r>
                  <w:r>
                    <w:rPr>
                      <w:rFonts w:hint="eastAsia" w:cs="Times New Roman"/>
                      <w:color w:val="auto"/>
                      <w:szCs w:val="21"/>
                      <w:highlight w:val="none"/>
                      <w:lang w:eastAsia="zh-CN"/>
                    </w:rPr>
                    <w:t>（</w:t>
                  </w:r>
                  <w:r>
                    <w:rPr>
                      <w:rFonts w:cs="Times New Roman"/>
                      <w:color w:val="auto"/>
                      <w:szCs w:val="21"/>
                      <w:highlight w:val="none"/>
                    </w:rPr>
                    <w:t>L</w:t>
                  </w:r>
                  <w:r>
                    <w:rPr>
                      <w:rFonts w:hint="eastAsia" w:cs="Times New Roman"/>
                      <w:color w:val="auto"/>
                      <w:szCs w:val="21"/>
                      <w:highlight w:val="none"/>
                      <w:lang w:eastAsia="zh-CN"/>
                    </w:rPr>
                    <w:t>）</w:t>
                  </w:r>
                </w:p>
              </w:tc>
              <w:tc>
                <w:tcPr>
                  <w:tcW w:w="382"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L1</w:t>
                  </w:r>
                </w:p>
              </w:tc>
              <w:tc>
                <w:tcPr>
                  <w:tcW w:w="921"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卫国路</w:t>
                  </w:r>
                </w:p>
              </w:tc>
              <w:tc>
                <w:tcPr>
                  <w:tcW w:w="900" w:type="dxa"/>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已建成</w:t>
                  </w:r>
                </w:p>
              </w:tc>
              <w:tc>
                <w:tcPr>
                  <w:tcW w:w="2400" w:type="dxa"/>
                  <w:vMerge w:val="restart"/>
                  <w:tcBorders>
                    <w:tl2br w:val="nil"/>
                    <w:tr2bl w:val="nil"/>
                  </w:tcBorders>
                  <w:vAlign w:val="center"/>
                </w:tcPr>
                <w:p>
                  <w:pPr>
                    <w:pStyle w:val="57"/>
                    <w:spacing w:line="280" w:lineRule="exact"/>
                    <w:rPr>
                      <w:rFonts w:cs="Times New Roman"/>
                      <w:color w:val="auto"/>
                      <w:szCs w:val="21"/>
                      <w:highlight w:val="none"/>
                    </w:rPr>
                  </w:pPr>
                  <w:r>
                    <w:rPr>
                      <w:rFonts w:cs="Times New Roman"/>
                      <w:color w:val="auto"/>
                      <w:szCs w:val="21"/>
                      <w:highlight w:val="none"/>
                    </w:rPr>
                    <w:t>在公路两侧建筑控制线范围内，禁止建设除了公路附属设施外的其他永久性建筑物、构筑物和设施。</w:t>
                  </w:r>
                </w:p>
              </w:tc>
              <w:tc>
                <w:tcPr>
                  <w:tcW w:w="1218" w:type="dxa"/>
                  <w:vMerge w:val="restart"/>
                  <w:tcBorders>
                    <w:tl2br w:val="nil"/>
                    <w:tr2bl w:val="nil"/>
                  </w:tcBorders>
                  <w:vAlign w:val="center"/>
                </w:tcPr>
                <w:p>
                  <w:pPr>
                    <w:pStyle w:val="57"/>
                    <w:spacing w:line="280" w:lineRule="exact"/>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本项目距厂界南侧的创新大道约38m，不在</w:t>
                  </w:r>
                  <w:r>
                    <w:rPr>
                      <w:rFonts w:cs="Times New Roman"/>
                      <w:color w:val="auto"/>
                      <w:szCs w:val="21"/>
                      <w:highlight w:val="none"/>
                    </w:rPr>
                    <w:t>公路两侧建筑控制线范围内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L2</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建设路</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L3</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龙泽路</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4</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创新大道</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5</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北安道</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6</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庆北道</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7</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庆丰道</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8</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火炬路</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370" w:type="dxa"/>
                  <w:vMerge w:val="continue"/>
                  <w:tcBorders>
                    <w:tl2br w:val="nil"/>
                    <w:tr2bl w:val="nil"/>
                  </w:tcBorders>
                  <w:vAlign w:val="center"/>
                </w:tcPr>
                <w:p>
                  <w:pPr>
                    <w:pStyle w:val="57"/>
                    <w:spacing w:line="280" w:lineRule="exact"/>
                    <w:ind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382"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L</w:t>
                  </w:r>
                  <w:r>
                    <w:rPr>
                      <w:rFonts w:cs="Times New Roman"/>
                      <w:color w:val="auto"/>
                      <w:szCs w:val="21"/>
                      <w:highlight w:val="none"/>
                    </w:rPr>
                    <w:t>9</w:t>
                  </w:r>
                </w:p>
              </w:tc>
              <w:tc>
                <w:tcPr>
                  <w:tcW w:w="921"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规划路3</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已建成</w:t>
                  </w:r>
                </w:p>
              </w:tc>
              <w:tc>
                <w:tcPr>
                  <w:tcW w:w="2400"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1218" w:type="dxa"/>
                  <w:vMerge w:val="continue"/>
                  <w:tcBorders>
                    <w:tl2br w:val="nil"/>
                    <w:tr2bl w:val="nil"/>
                  </w:tcBorders>
                  <w:vAlign w:val="center"/>
                </w:tcPr>
                <w:p>
                  <w:pPr>
                    <w:pStyle w:val="57"/>
                    <w:spacing w:line="280" w:lineRule="exact"/>
                    <w:rPr>
                      <w:rFonts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5" w:hRule="atLeast"/>
                <w:jc w:val="center"/>
              </w:trPr>
              <w:tc>
                <w:tcPr>
                  <w:tcW w:w="370" w:type="dxa"/>
                  <w:tcBorders>
                    <w:tl2br w:val="nil"/>
                    <w:tr2bl w:val="nil"/>
                  </w:tcBorders>
                  <w:vAlign w:val="center"/>
                </w:tcPr>
                <w:p>
                  <w:pPr>
                    <w:pStyle w:val="57"/>
                    <w:numPr>
                      <w:ilvl w:val="0"/>
                      <w:numId w:val="2"/>
                    </w:numPr>
                    <w:spacing w:line="280" w:lineRule="exact"/>
                    <w:ind w:left="0" w:leftChars="0" w:firstLine="0" w:firstLineChars="0"/>
                    <w:rPr>
                      <w:rFonts w:cs="Times New Roman"/>
                      <w:color w:val="auto"/>
                      <w:szCs w:val="21"/>
                      <w:highlight w:val="none"/>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地表水系</w:t>
                  </w:r>
                </w:p>
              </w:tc>
              <w:tc>
                <w:tcPr>
                  <w:tcW w:w="1303" w:type="dxa"/>
                  <w:gridSpan w:val="2"/>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环城水系</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水域</w:t>
                  </w:r>
                </w:p>
              </w:tc>
              <w:tc>
                <w:tcPr>
                  <w:tcW w:w="24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将环城水系行洪河道以及两侧50-100m的绿化带划定为禁建区，禁止在水系管理范围内建设妨碍行洪的建筑物、构筑物，倾倒垃圾、渣土，从事影响河势稳定、危害河岸堤防安全和其他妨碍河道行洪的活动。</w:t>
                  </w:r>
                </w:p>
              </w:tc>
              <w:tc>
                <w:tcPr>
                  <w:tcW w:w="1218" w:type="dxa"/>
                  <w:tcBorders>
                    <w:tl2br w:val="nil"/>
                    <w:tr2bl w:val="nil"/>
                  </w:tcBorders>
                  <w:vAlign w:val="center"/>
                </w:tcPr>
                <w:p>
                  <w:pPr>
                    <w:pStyle w:val="57"/>
                    <w:spacing w:line="280" w:lineRule="exact"/>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本项目不在环城水系禁建区范围内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75" w:hRule="atLeast"/>
                <w:jc w:val="center"/>
              </w:trPr>
              <w:tc>
                <w:tcPr>
                  <w:tcW w:w="370" w:type="dxa"/>
                  <w:tcBorders>
                    <w:tl2br w:val="nil"/>
                    <w:tr2bl w:val="nil"/>
                  </w:tcBorders>
                  <w:vAlign w:val="center"/>
                </w:tcPr>
                <w:p>
                  <w:pPr>
                    <w:pStyle w:val="57"/>
                    <w:numPr>
                      <w:ilvl w:val="0"/>
                      <w:numId w:val="2"/>
                    </w:numPr>
                    <w:spacing w:line="280" w:lineRule="exact"/>
                    <w:ind w:left="0" w:leftChars="0" w:firstLine="0" w:firstLineChars="0"/>
                    <w:rPr>
                      <w:rFonts w:cs="Times New Roman"/>
                      <w:color w:val="auto"/>
                      <w:szCs w:val="21"/>
                      <w:highlight w:val="none"/>
                      <w:lang w:val="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生态</w:t>
                  </w:r>
                </w:p>
              </w:tc>
              <w:tc>
                <w:tcPr>
                  <w:tcW w:w="1303" w:type="dxa"/>
                  <w:gridSpan w:val="2"/>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防护绿地</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w:t>
                  </w:r>
                </w:p>
              </w:tc>
              <w:tc>
                <w:tcPr>
                  <w:tcW w:w="24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禁止在规划防护绿地占地范围内开展与防护绿地无关的建设活动，严禁占用开发区防护绿地。</w:t>
                  </w:r>
                </w:p>
              </w:tc>
              <w:tc>
                <w:tcPr>
                  <w:tcW w:w="1218" w:type="dxa"/>
                  <w:tcBorders>
                    <w:tl2br w:val="nil"/>
                    <w:tr2bl w:val="nil"/>
                  </w:tcBorders>
                  <w:vAlign w:val="center"/>
                </w:tcPr>
                <w:p>
                  <w:pPr>
                    <w:pStyle w:val="57"/>
                    <w:spacing w:line="280" w:lineRule="exact"/>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本项目不在防护绿地范围内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75" w:hRule="atLeast"/>
                <w:jc w:val="center"/>
              </w:trPr>
              <w:tc>
                <w:tcPr>
                  <w:tcW w:w="370" w:type="dxa"/>
                  <w:tcBorders>
                    <w:tl2br w:val="nil"/>
                    <w:tr2bl w:val="nil"/>
                  </w:tcBorders>
                  <w:vAlign w:val="center"/>
                </w:tcPr>
                <w:p>
                  <w:pPr>
                    <w:pStyle w:val="57"/>
                    <w:numPr>
                      <w:ilvl w:val="0"/>
                      <w:numId w:val="2"/>
                    </w:numPr>
                    <w:spacing w:line="280" w:lineRule="exact"/>
                    <w:ind w:left="0" w:leftChars="0" w:firstLine="0" w:firstLineChars="0"/>
                    <w:rPr>
                      <w:rFonts w:cs="Times New Roman"/>
                      <w:color w:val="auto"/>
                      <w:szCs w:val="21"/>
                      <w:highlight w:val="none"/>
                      <w:lang w:val="zh-CN"/>
                    </w:rPr>
                  </w:pPr>
                </w:p>
              </w:tc>
              <w:tc>
                <w:tcPr>
                  <w:tcW w:w="514" w:type="dxa"/>
                  <w:vMerge w:val="restart"/>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限制建设区</w:t>
                  </w:r>
                </w:p>
              </w:tc>
              <w:tc>
                <w:tcPr>
                  <w:tcW w:w="608"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规划人群集聚区</w:t>
                  </w:r>
                </w:p>
              </w:tc>
              <w:tc>
                <w:tcPr>
                  <w:tcW w:w="1303" w:type="dxa"/>
                  <w:gridSpan w:val="2"/>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新城子、孙家庄、田庄、前白寺口、中白寺口、北白寺口、梁各庄、宋各庄、刘家洼、郑庄子、三益庄、李各庄居住区</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农村居住用地</w:t>
                  </w:r>
                </w:p>
              </w:tc>
              <w:tc>
                <w:tcPr>
                  <w:tcW w:w="2400" w:type="dxa"/>
                  <w:tcBorders>
                    <w:tl2br w:val="nil"/>
                    <w:tr2bl w:val="nil"/>
                  </w:tcBorders>
                  <w:vAlign w:val="center"/>
                </w:tcPr>
                <w:p>
                  <w:pPr>
                    <w:pStyle w:val="57"/>
                    <w:spacing w:line="280" w:lineRule="exact"/>
                    <w:rPr>
                      <w:rFonts w:cs="Times New Roman"/>
                      <w:color w:val="auto"/>
                      <w:szCs w:val="21"/>
                      <w:highlight w:val="none"/>
                      <w:lang w:val="zh-CN"/>
                    </w:rPr>
                  </w:pPr>
                  <w:r>
                    <w:rPr>
                      <w:rFonts w:cs="Times New Roman"/>
                      <w:color w:val="auto"/>
                      <w:szCs w:val="21"/>
                      <w:highlight w:val="none"/>
                      <w:lang w:val="zh-CN"/>
                    </w:rPr>
                    <w:t>在居住区与工业用地之间设置绿化隔离带，并控制居住区向工业用地方向发展。工业用地靠近居住区的一侧在布置工业项目时应该重点考虑对居住区的环境影响分析及防护距离设置。</w:t>
                  </w:r>
                </w:p>
              </w:tc>
              <w:tc>
                <w:tcPr>
                  <w:tcW w:w="1218" w:type="dxa"/>
                  <w:tcBorders>
                    <w:tl2br w:val="nil"/>
                    <w:tr2bl w:val="nil"/>
                  </w:tcBorders>
                  <w:vAlign w:val="center"/>
                </w:tcPr>
                <w:p>
                  <w:pPr>
                    <w:pStyle w:val="57"/>
                    <w:spacing w:line="28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距离本项目最近的居住区为龙湖·天境尘林间居民区，位于本项目厂界外东侧250m，本项目的建设不会对居民区产生影响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25" w:hRule="atLeast"/>
                <w:jc w:val="center"/>
              </w:trPr>
              <w:tc>
                <w:tcPr>
                  <w:tcW w:w="370" w:type="dxa"/>
                  <w:tcBorders>
                    <w:tl2br w:val="nil"/>
                    <w:tr2bl w:val="nil"/>
                  </w:tcBorders>
                  <w:vAlign w:val="center"/>
                </w:tcPr>
                <w:p>
                  <w:pPr>
                    <w:pStyle w:val="57"/>
                    <w:numPr>
                      <w:ilvl w:val="0"/>
                      <w:numId w:val="2"/>
                    </w:numPr>
                    <w:spacing w:line="280" w:lineRule="exact"/>
                    <w:ind w:left="0" w:leftChars="0" w:firstLine="0" w:firstLineChars="0"/>
                    <w:rPr>
                      <w:rFonts w:hint="eastAsia" w:eastAsia="宋体" w:cs="Times New Roman"/>
                      <w:color w:val="auto"/>
                      <w:szCs w:val="21"/>
                      <w:highlight w:val="none"/>
                      <w:lang w:val="en-US" w:eastAsia="zh-CN"/>
                    </w:rPr>
                  </w:pPr>
                </w:p>
              </w:tc>
              <w:tc>
                <w:tcPr>
                  <w:tcW w:w="514" w:type="dxa"/>
                  <w:vMerge w:val="continue"/>
                  <w:tcBorders>
                    <w:tl2br w:val="nil"/>
                    <w:tr2bl w:val="nil"/>
                  </w:tcBorders>
                  <w:vAlign w:val="center"/>
                </w:tcPr>
                <w:p>
                  <w:pPr>
                    <w:pStyle w:val="57"/>
                    <w:spacing w:line="280" w:lineRule="exact"/>
                    <w:rPr>
                      <w:rFonts w:cs="Times New Roman"/>
                      <w:color w:val="auto"/>
                      <w:szCs w:val="21"/>
                      <w:highlight w:val="none"/>
                      <w:lang w:val="zh-CN"/>
                    </w:rPr>
                  </w:pPr>
                </w:p>
              </w:tc>
              <w:tc>
                <w:tcPr>
                  <w:tcW w:w="608" w:type="dxa"/>
                  <w:tcBorders>
                    <w:tl2br w:val="nil"/>
                    <w:tr2bl w:val="nil"/>
                  </w:tcBorders>
                  <w:vAlign w:val="center"/>
                </w:tcPr>
                <w:p>
                  <w:pPr>
                    <w:pStyle w:val="57"/>
                    <w:spacing w:line="280" w:lineRule="exact"/>
                    <w:rPr>
                      <w:rFonts w:cs="Times New Roman"/>
                      <w:color w:val="auto"/>
                      <w:szCs w:val="21"/>
                      <w:highlight w:val="none"/>
                      <w:lang w:val="zh-CN"/>
                    </w:rPr>
                  </w:pPr>
                  <w:r>
                    <w:rPr>
                      <w:rFonts w:hint="eastAsia" w:cs="Times New Roman"/>
                      <w:color w:val="auto"/>
                      <w:szCs w:val="21"/>
                      <w:highlight w:val="none"/>
                      <w:lang w:val="zh-CN"/>
                    </w:rPr>
                    <w:t>地质条件</w:t>
                  </w:r>
                </w:p>
              </w:tc>
              <w:tc>
                <w:tcPr>
                  <w:tcW w:w="1303" w:type="dxa"/>
                  <w:gridSpan w:val="2"/>
                  <w:tcBorders>
                    <w:tl2br w:val="nil"/>
                    <w:tr2bl w:val="nil"/>
                  </w:tcBorders>
                  <w:vAlign w:val="center"/>
                </w:tcPr>
                <w:p>
                  <w:pPr>
                    <w:pStyle w:val="57"/>
                    <w:spacing w:line="280" w:lineRule="exact"/>
                    <w:rPr>
                      <w:rFonts w:cs="Times New Roman"/>
                      <w:color w:val="auto"/>
                      <w:szCs w:val="21"/>
                      <w:highlight w:val="none"/>
                      <w:lang w:val="zh-CN"/>
                    </w:rPr>
                  </w:pPr>
                  <w:r>
                    <w:rPr>
                      <w:rFonts w:hint="eastAsia" w:cs="Times New Roman"/>
                      <w:color w:val="auto"/>
                      <w:szCs w:val="21"/>
                      <w:highlight w:val="none"/>
                      <w:lang w:val="zh-CN"/>
                    </w:rPr>
                    <w:t>大庆道以北至创新北道，建设北路以西地块位于地震烈度9度液化区内</w:t>
                  </w:r>
                </w:p>
              </w:tc>
              <w:tc>
                <w:tcPr>
                  <w:tcW w:w="900" w:type="dxa"/>
                  <w:tcBorders>
                    <w:tl2br w:val="nil"/>
                    <w:tr2bl w:val="nil"/>
                  </w:tcBorders>
                  <w:vAlign w:val="center"/>
                </w:tcPr>
                <w:p>
                  <w:pPr>
                    <w:pStyle w:val="57"/>
                    <w:spacing w:line="280" w:lineRule="exact"/>
                    <w:rPr>
                      <w:rFonts w:cs="Times New Roman"/>
                      <w:color w:val="auto"/>
                      <w:szCs w:val="21"/>
                      <w:highlight w:val="none"/>
                      <w:lang w:val="zh-CN"/>
                    </w:rPr>
                  </w:pPr>
                  <w:r>
                    <w:rPr>
                      <w:rFonts w:hint="eastAsia" w:cs="Times New Roman"/>
                      <w:color w:val="auto"/>
                      <w:szCs w:val="21"/>
                      <w:highlight w:val="none"/>
                      <w:lang w:val="zh-CN"/>
                    </w:rPr>
                    <w:t>多为工业和居住用地</w:t>
                  </w:r>
                </w:p>
              </w:tc>
              <w:tc>
                <w:tcPr>
                  <w:tcW w:w="2400" w:type="dxa"/>
                  <w:tcBorders>
                    <w:tl2br w:val="nil"/>
                    <w:tr2bl w:val="nil"/>
                  </w:tcBorders>
                  <w:vAlign w:val="center"/>
                </w:tcPr>
                <w:p>
                  <w:pPr>
                    <w:pStyle w:val="57"/>
                    <w:spacing w:line="280" w:lineRule="exact"/>
                    <w:jc w:val="center"/>
                    <w:rPr>
                      <w:rFonts w:cs="Times New Roman"/>
                      <w:color w:val="auto"/>
                      <w:szCs w:val="21"/>
                      <w:highlight w:val="none"/>
                      <w:lang w:val="zh-CN"/>
                    </w:rPr>
                  </w:pPr>
                  <w:r>
                    <w:rPr>
                      <w:rFonts w:hint="eastAsia" w:cs="Times New Roman"/>
                      <w:color w:val="auto"/>
                      <w:szCs w:val="21"/>
                      <w:highlight w:val="none"/>
                      <w:lang w:val="zh-CN"/>
                    </w:rPr>
                    <w:t>9度液化区内限制建设高层建筑，9度液化区内的所有建筑，按照工程地质方面的相关建设标准进行防震保护处理。</w:t>
                  </w:r>
                </w:p>
              </w:tc>
              <w:tc>
                <w:tcPr>
                  <w:tcW w:w="1218" w:type="dxa"/>
                  <w:tcBorders>
                    <w:tl2br w:val="nil"/>
                    <w:tr2bl w:val="nil"/>
                  </w:tcBorders>
                  <w:vAlign w:val="center"/>
                </w:tcPr>
                <w:p>
                  <w:pPr>
                    <w:pStyle w:val="57"/>
                    <w:spacing w:line="28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本项目不在</w:t>
                  </w:r>
                  <w:r>
                    <w:rPr>
                      <w:rFonts w:hint="eastAsia" w:cs="Times New Roman"/>
                      <w:color w:val="auto"/>
                      <w:szCs w:val="21"/>
                      <w:highlight w:val="none"/>
                      <w:lang w:val="zh-CN"/>
                    </w:rPr>
                    <w:t>9度液化区内</w:t>
                  </w:r>
                </w:p>
              </w:tc>
            </w:tr>
          </w:tbl>
          <w:p>
            <w:pPr>
              <w:bidi w:val="0"/>
              <w:rPr>
                <w:rFonts w:hint="default"/>
                <w:color w:val="auto"/>
                <w:highlight w:val="none"/>
                <w:lang w:val="en-US" w:eastAsia="zh-CN"/>
              </w:rPr>
            </w:pPr>
            <w:r>
              <w:rPr>
                <w:rFonts w:hint="eastAsia"/>
                <w:color w:val="auto"/>
                <w:highlight w:val="none"/>
                <w:lang w:val="en-US" w:eastAsia="zh-CN"/>
              </w:rPr>
              <w:t>本项目符合开发区</w:t>
            </w:r>
            <w:r>
              <w:rPr>
                <w:rFonts w:hint="eastAsia" w:cs="Times New Roman"/>
                <w:color w:val="auto"/>
                <w:sz w:val="24"/>
                <w:szCs w:val="24"/>
                <w:highlight w:val="none"/>
                <w:shd w:val="clear" w:color="auto" w:fill="auto"/>
                <w:lang w:val="en-US" w:eastAsia="zh-CN"/>
              </w:rPr>
              <w:t>生态保护红线及生态管控空间要求。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shd w:val="clear" w:color="auto" w:fill="auto"/>
                <w:lang w:val="zh-CN"/>
              </w:rPr>
            </w:pPr>
            <w:r>
              <w:rPr>
                <w:rFonts w:hint="eastAsia"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zh-CN"/>
              </w:rPr>
              <w:t>环境质量底线</w:t>
            </w:r>
          </w:p>
          <w:p>
            <w:pPr>
              <w:pageBreakBefore w:val="0"/>
              <w:widowControl w:val="0"/>
              <w:numPr>
                <w:ilvl w:val="0"/>
                <w:numId w:val="0"/>
              </w:numPr>
              <w:kinsoku/>
              <w:wordWrap/>
              <w:overflowPunct/>
              <w:topLinePunct w:val="0"/>
              <w:bidi w:val="0"/>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shd w:val="clear" w:color="auto" w:fill="auto"/>
                <w:lang w:val="zh-CN"/>
              </w:rPr>
            </w:pPr>
            <w:r>
              <w:rPr>
                <w:rFonts w:cs="Times New Roman"/>
                <w:color w:val="auto"/>
                <w:highlight w:val="none"/>
              </w:rPr>
              <w:t>根据《唐山市</w:t>
            </w:r>
            <w:r>
              <w:rPr>
                <w:rFonts w:hint="eastAsia" w:ascii="宋体" w:hAnsi="宋体" w:eastAsia="宋体" w:cs="宋体"/>
                <w:color w:val="auto"/>
                <w:highlight w:val="none"/>
              </w:rPr>
              <w:t>“三线一单”</w:t>
            </w:r>
            <w:r>
              <w:rPr>
                <w:rFonts w:cs="Times New Roman"/>
                <w:color w:val="auto"/>
                <w:highlight w:val="none"/>
              </w:rPr>
              <w:t>》，到2025年，PM</w:t>
            </w:r>
            <w:r>
              <w:rPr>
                <w:rFonts w:cs="Times New Roman"/>
                <w:color w:val="auto"/>
                <w:highlight w:val="none"/>
                <w:vertAlign w:val="subscript"/>
              </w:rPr>
              <w:t>2.5</w:t>
            </w:r>
            <w:r>
              <w:rPr>
                <w:rFonts w:cs="Times New Roman"/>
                <w:color w:val="auto"/>
                <w:highlight w:val="none"/>
              </w:rPr>
              <w:t>年均浓度下降至45微克/立方米左右；到2035年，力争实现PM</w:t>
            </w:r>
            <w:r>
              <w:rPr>
                <w:rFonts w:cs="Times New Roman"/>
                <w:color w:val="auto"/>
                <w:highlight w:val="none"/>
                <w:vertAlign w:val="subscript"/>
              </w:rPr>
              <w:t>2.5</w:t>
            </w:r>
            <w:r>
              <w:rPr>
                <w:rFonts w:cs="Times New Roman"/>
                <w:color w:val="auto"/>
                <w:highlight w:val="none"/>
              </w:rPr>
              <w:t>年均浓度到达标水平35微克/立方米。2025年全市水生态环境质量持续改善，地表水国家和河北省考核断面，达到或优于Ⅲ类水体断面比例达到63.63%以上，劣Ⅴ类水体断面比例控制在0%；2035年全市水生态环境质量全面改善，法制化、科学化、信息化的水安全现代化管理体系全面建成。地表水国家和河北省考核断面，达到或优于Ⅲ类水体断面比例达到63.63%以上，劣Ⅴ类水体断面比例控制在0%。到2025年，地下水型饮用水水源水质明显改善，城市集中式地下水型饮用水水源水质达到或优于Ⅲ类比例达100%；到2035年，力争唐山市地下水环境质量总体改善，地下水生态系统功能基本恢复。唐山高新区北部拓展区</w:t>
            </w:r>
            <w:r>
              <w:rPr>
                <w:rFonts w:hint="eastAsia" w:cs="Times New Roman"/>
                <w:color w:val="auto"/>
                <w:highlight w:val="none"/>
                <w:lang w:val="en-US" w:eastAsia="zh-CN"/>
              </w:rPr>
              <w:t>环境质量底线</w:t>
            </w:r>
            <w:r>
              <w:rPr>
                <w:rFonts w:hint="default" w:ascii="Times New Roman" w:hAnsi="Times New Roman" w:eastAsia="宋体" w:cs="Times New Roman"/>
                <w:color w:val="auto"/>
                <w:sz w:val="24"/>
                <w:szCs w:val="24"/>
                <w:highlight w:val="none"/>
                <w:shd w:val="clear" w:color="auto" w:fill="auto"/>
                <w:lang w:val="zh-CN"/>
              </w:rPr>
              <w:t>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baseline"/>
              <w:rPr>
                <w:rFonts w:hint="eastAsia" w:ascii="Times New Roman" w:hAnsi="Times New Roman" w:eastAsia="宋体" w:cs="Times New Roman"/>
                <w:b/>
                <w:color w:val="auto"/>
                <w:szCs w:val="21"/>
                <w:highlight w:val="none"/>
                <w:shd w:val="clear" w:color="auto" w:fill="auto"/>
                <w:lang w:val="en-US" w:eastAsia="zh-CN" w:bidi="ar"/>
              </w:rPr>
            </w:pPr>
            <w:r>
              <w:rPr>
                <w:rFonts w:hint="default" w:ascii="Times New Roman" w:hAnsi="Times New Roman" w:eastAsia="宋体" w:cs="Times New Roman"/>
                <w:b/>
                <w:color w:val="auto"/>
                <w:sz w:val="21"/>
                <w:szCs w:val="21"/>
                <w:highlight w:val="none"/>
                <w:shd w:val="clear" w:color="auto" w:fill="auto"/>
                <w:lang w:bidi="ar"/>
              </w:rPr>
              <w:t>表</w:t>
            </w:r>
            <w:r>
              <w:rPr>
                <w:rFonts w:hint="eastAsia" w:ascii="Times New Roman" w:hAnsi="Times New Roman" w:eastAsia="宋体" w:cs="Times New Roman"/>
                <w:b/>
                <w:color w:val="auto"/>
                <w:sz w:val="21"/>
                <w:szCs w:val="21"/>
                <w:highlight w:val="none"/>
                <w:shd w:val="clear" w:color="auto" w:fill="auto"/>
                <w:lang w:val="en-US" w:eastAsia="zh-CN" w:bidi="ar"/>
              </w:rPr>
              <w:t>3</w:t>
            </w:r>
            <w:r>
              <w:rPr>
                <w:rFonts w:hint="default" w:ascii="Times New Roman" w:hAnsi="Times New Roman" w:eastAsia="宋体" w:cs="Times New Roman"/>
                <w:b/>
                <w:color w:val="auto"/>
                <w:sz w:val="21"/>
                <w:szCs w:val="21"/>
                <w:highlight w:val="none"/>
                <w:shd w:val="clear" w:color="auto" w:fill="auto"/>
                <w:lang w:val="en-US" w:eastAsia="zh-CN" w:bidi="ar"/>
              </w:rPr>
              <w:t xml:space="preserve"> </w:t>
            </w:r>
            <w:r>
              <w:rPr>
                <w:rFonts w:hint="default" w:ascii="Times New Roman" w:hAnsi="Times New Roman" w:eastAsia="宋体" w:cs="Times New Roman"/>
                <w:b/>
                <w:color w:val="auto"/>
                <w:sz w:val="21"/>
                <w:szCs w:val="21"/>
                <w:highlight w:val="none"/>
                <w:shd w:val="clear" w:color="auto" w:fill="auto"/>
                <w:lang w:bidi="ar"/>
              </w:rPr>
              <w:t xml:space="preserve"> </w:t>
            </w:r>
            <w:r>
              <w:rPr>
                <w:rFonts w:hint="eastAsia" w:ascii="Times New Roman" w:hAnsi="Times New Roman" w:eastAsia="宋体" w:cs="Times New Roman"/>
                <w:b/>
                <w:color w:val="auto"/>
                <w:sz w:val="21"/>
                <w:szCs w:val="21"/>
                <w:highlight w:val="none"/>
                <w:shd w:val="clear" w:color="auto" w:fill="auto"/>
                <w:lang w:val="en-US" w:eastAsia="zh-CN" w:bidi="ar"/>
              </w:rPr>
              <w:t>唐山高新区北部拓展区环境质量底线一览表</w:t>
            </w:r>
          </w:p>
          <w:tbl>
            <w:tblPr>
              <w:tblStyle w:val="24"/>
              <w:tblW w:w="74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58"/>
              <w:gridCol w:w="644"/>
              <w:gridCol w:w="2316"/>
              <w:gridCol w:w="2300"/>
              <w:gridCol w:w="17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58" w:type="dxa"/>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序号</w:t>
                  </w:r>
                </w:p>
              </w:tc>
              <w:tc>
                <w:tcPr>
                  <w:tcW w:w="644" w:type="dxa"/>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类别</w:t>
                  </w:r>
                </w:p>
              </w:tc>
              <w:tc>
                <w:tcPr>
                  <w:tcW w:w="2316" w:type="dxa"/>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底线目标</w:t>
                  </w:r>
                </w:p>
              </w:tc>
              <w:tc>
                <w:tcPr>
                  <w:tcW w:w="2300" w:type="dxa"/>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rPr>
                    <w:t>底线管控建议</w:t>
                  </w:r>
                </w:p>
              </w:tc>
              <w:tc>
                <w:tcPr>
                  <w:tcW w:w="1709" w:type="dxa"/>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lang w:eastAsia="zh-CN"/>
                    </w:rPr>
                  </w:pPr>
                  <w:r>
                    <w:rPr>
                      <w:rFonts w:hint="eastAsia" w:cs="Times New Roman"/>
                      <w:b w:val="0"/>
                      <w:bCs w:val="0"/>
                      <w:color w:val="auto"/>
                      <w:sz w:val="21"/>
                      <w:szCs w:val="21"/>
                      <w:highlight w:val="none"/>
                      <w:shd w:val="clear" w:color="auto" w:fill="auto"/>
                      <w:lang w:val="en-US" w:eastAsia="zh-CN"/>
                    </w:rPr>
                    <w:t>本项目</w:t>
                  </w:r>
                  <w:r>
                    <w:rPr>
                      <w:rFonts w:hint="default" w:ascii="Times New Roman" w:hAnsi="Times New Roman" w:eastAsia="宋体" w:cs="Times New Roman"/>
                      <w:b w:val="0"/>
                      <w:bCs w:val="0"/>
                      <w:color w:val="auto"/>
                      <w:sz w:val="21"/>
                      <w:szCs w:val="21"/>
                      <w:highlight w:val="none"/>
                      <w:shd w:val="clear" w:color="auto" w:fill="auto"/>
                      <w:lang w:eastAsia="zh-CN"/>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restart"/>
                  <w:tcBorders>
                    <w:tl2br w:val="nil"/>
                    <w:tr2bl w:val="nil"/>
                  </w:tcBorders>
                  <w:noWrap w:val="0"/>
                  <w:vAlign w:val="center"/>
                </w:tcPr>
                <w:p>
                  <w:pPr>
                    <w:pStyle w:val="35"/>
                    <w:keepNext w:val="0"/>
                    <w:keepLines w:val="0"/>
                    <w:pageBreakBefore w:val="0"/>
                    <w:widowControl w:val="0"/>
                    <w:numPr>
                      <w:ilvl w:val="0"/>
                      <w:numId w:val="3"/>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大气环境质量底线</w:t>
                  </w:r>
                </w:p>
              </w:tc>
              <w:tc>
                <w:tcPr>
                  <w:tcW w:w="2316"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2025年细颗粒物（PM</w:t>
                  </w:r>
                  <w:r>
                    <w:rPr>
                      <w:rFonts w:cs="Times New Roman"/>
                      <w:color w:val="auto"/>
                      <w:highlight w:val="none"/>
                      <w:vertAlign w:val="subscript"/>
                    </w:rPr>
                    <w:t>2.5</w:t>
                  </w:r>
                  <w:r>
                    <w:rPr>
                      <w:rFonts w:cs="Times New Roman"/>
                      <w:color w:val="auto"/>
                      <w:highlight w:val="none"/>
                    </w:rPr>
                    <w:t>）年均浓度控制在40mg/m</w:t>
                  </w:r>
                  <w:r>
                    <w:rPr>
                      <w:rFonts w:cs="Times New Roman"/>
                      <w:color w:val="auto"/>
                      <w:highlight w:val="none"/>
                      <w:vertAlign w:val="superscript"/>
                    </w:rPr>
                    <w:t>3</w:t>
                  </w:r>
                  <w:r>
                    <w:rPr>
                      <w:rFonts w:cs="Times New Roman"/>
                      <w:color w:val="auto"/>
                      <w:highlight w:val="none"/>
                    </w:rPr>
                    <w:t>，2030年细颗粒物（PM</w:t>
                  </w:r>
                  <w:r>
                    <w:rPr>
                      <w:rFonts w:cs="Times New Roman"/>
                      <w:color w:val="auto"/>
                      <w:highlight w:val="none"/>
                      <w:vertAlign w:val="subscript"/>
                    </w:rPr>
                    <w:t>2.5</w:t>
                  </w:r>
                  <w:r>
                    <w:rPr>
                      <w:rFonts w:cs="Times New Roman"/>
                      <w:color w:val="auto"/>
                      <w:highlight w:val="none"/>
                    </w:rPr>
                    <w:t>）年均浓度控制在35mg/m</w:t>
                  </w:r>
                  <w:r>
                    <w:rPr>
                      <w:rFonts w:cs="Times New Roman"/>
                      <w:color w:val="auto"/>
                      <w:highlight w:val="none"/>
                      <w:vertAlign w:val="superscript"/>
                    </w:rPr>
                    <w:t>3</w:t>
                  </w:r>
                  <w:r>
                    <w:rPr>
                      <w:rFonts w:cs="Times New Roman"/>
                      <w:color w:val="auto"/>
                      <w:highlight w:val="none"/>
                    </w:rPr>
                    <w:t>，且达到国家规定要求，其他因子亦满足《环境空气质量标准》（GB3095-2012）二级标准及修改单要求、《环境空气质量 非甲烷总烃限值》（DB13/1577-2012）、《环境影响评价技术导则 大气环境》（HJ2.2-2018）附录D表D.1其他污染物空气质量浓度参考限值</w:t>
                  </w:r>
                </w:p>
              </w:tc>
              <w:tc>
                <w:tcPr>
                  <w:tcW w:w="2300"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列入环境准入负面清单内的产业禁止入区；区域大气污染物排放执行河北省重点地区相应环保管理要求，执行特别排放限值和超低排放限值要求；涉及排放挥发性有机物的企业须安装废气收集措施，确保废气达标排放；严格执行区域削减计划，执行总量和污染物排放量削减；严格落实重污染天气应急预案，颗粒物超标天气实行轮流停产、限时停产限产等方式实现应急减排目标。</w:t>
                  </w:r>
                </w:p>
              </w:tc>
              <w:tc>
                <w:tcPr>
                  <w:tcW w:w="1709"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本项目不属于</w:t>
                  </w:r>
                  <w:r>
                    <w:rPr>
                      <w:rFonts w:cs="Times New Roman"/>
                      <w:color w:val="auto"/>
                      <w:highlight w:val="none"/>
                    </w:rPr>
                    <w:t>环境准入负面清单</w:t>
                  </w:r>
                  <w:r>
                    <w:rPr>
                      <w:rFonts w:hint="eastAsia" w:cs="Times New Roman"/>
                      <w:color w:val="auto"/>
                      <w:highlight w:val="none"/>
                      <w:lang w:val="en-US" w:eastAsia="zh-CN"/>
                    </w:rPr>
                    <w:t>内的产业，污染物处理后达标排放，本项目建成后</w:t>
                  </w:r>
                  <w:r>
                    <w:rPr>
                      <w:rFonts w:cs="Times New Roman"/>
                      <w:color w:val="auto"/>
                      <w:highlight w:val="none"/>
                    </w:rPr>
                    <w:t>严格落实重污染天气应急预案，颗粒物超标天气实行轮流停产、限时停产限产等方式实现应急减排目标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16"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00"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709"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restart"/>
                  <w:tcBorders>
                    <w:tl2br w:val="nil"/>
                    <w:tr2bl w:val="nil"/>
                  </w:tcBorders>
                  <w:noWrap w:val="0"/>
                  <w:vAlign w:val="center"/>
                </w:tcPr>
                <w:p>
                  <w:pPr>
                    <w:pStyle w:val="35"/>
                    <w:keepNext w:val="0"/>
                    <w:keepLines w:val="0"/>
                    <w:pageBreakBefore w:val="0"/>
                    <w:widowControl w:val="0"/>
                    <w:numPr>
                      <w:ilvl w:val="0"/>
                      <w:numId w:val="3"/>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cs="Times New Roman"/>
                      <w:color w:val="auto"/>
                      <w:highlight w:val="none"/>
                    </w:rPr>
                  </w:pPr>
                  <w:r>
                    <w:rPr>
                      <w:rFonts w:cs="Times New Roman"/>
                      <w:color w:val="auto"/>
                      <w:highlight w:val="none"/>
                    </w:rPr>
                    <w:t>地表水环境质</w:t>
                  </w:r>
                </w:p>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量底线</w:t>
                  </w:r>
                </w:p>
              </w:tc>
              <w:tc>
                <w:tcPr>
                  <w:tcW w:w="2316"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青龙河、陡河水质优于现有水质</w:t>
                  </w:r>
                </w:p>
              </w:tc>
              <w:tc>
                <w:tcPr>
                  <w:tcW w:w="2300"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开发区所依托的西郊、北郊污水处理厂废水达标排放。</w:t>
                  </w:r>
                </w:p>
              </w:tc>
              <w:tc>
                <w:tcPr>
                  <w:tcW w:w="1709"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w:t>
                  </w:r>
                  <w:r>
                    <w:rPr>
                      <w:rFonts w:hint="eastAsia" w:cs="Times New Roman"/>
                      <w:color w:val="auto"/>
                      <w:sz w:val="21"/>
                      <w:szCs w:val="21"/>
                      <w:highlight w:val="none"/>
                      <w:shd w:val="clear" w:color="auto" w:fill="auto"/>
                      <w:lang w:val="en-US" w:eastAsia="zh-CN"/>
                    </w:rPr>
                    <w:t>无新增废水，现有工程基体镀膜冷却水循环使用，喷淋塔废水作为危废处理，生活污水排入市政污水管网，最终进入西郊污水处理厂处理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16"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00"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709"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restart"/>
                  <w:tcBorders>
                    <w:tl2br w:val="nil"/>
                    <w:tr2bl w:val="nil"/>
                  </w:tcBorders>
                  <w:noWrap w:val="0"/>
                  <w:vAlign w:val="center"/>
                </w:tcPr>
                <w:p>
                  <w:pPr>
                    <w:pStyle w:val="35"/>
                    <w:keepNext w:val="0"/>
                    <w:keepLines w:val="0"/>
                    <w:pageBreakBefore w:val="0"/>
                    <w:widowControl w:val="0"/>
                    <w:numPr>
                      <w:ilvl w:val="0"/>
                      <w:numId w:val="3"/>
                    </w:numPr>
                    <w:kinsoku/>
                    <w:wordWrap/>
                    <w:overflowPunct/>
                    <w:topLinePunct w:val="0"/>
                    <w:bidi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地下水环境质量底线</w:t>
                  </w:r>
                </w:p>
              </w:tc>
              <w:tc>
                <w:tcPr>
                  <w:tcW w:w="2316"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深层地下水水质满足《地下水质量标准》（GB/T14848-2017）Ⅲ类标准要求</w:t>
                  </w:r>
                </w:p>
              </w:tc>
              <w:tc>
                <w:tcPr>
                  <w:tcW w:w="2300"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cs="Times New Roman"/>
                      <w:color w:val="auto"/>
                      <w:highlight w:val="none"/>
                    </w:rPr>
                    <w:t>严格地下水环境管理，强化源头控制、分区防渗、应急响应等措施，确保入区项目不会对地下水造成污染。</w:t>
                  </w:r>
                </w:p>
              </w:tc>
              <w:tc>
                <w:tcPr>
                  <w:tcW w:w="1709"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本项目建成后采取</w:t>
                  </w:r>
                  <w:r>
                    <w:rPr>
                      <w:rFonts w:cs="Times New Roman"/>
                      <w:color w:val="auto"/>
                      <w:highlight w:val="none"/>
                    </w:rPr>
                    <w:t>源头控制、分区防渗、应急响应等措施</w:t>
                  </w:r>
                  <w:r>
                    <w:rPr>
                      <w:rFonts w:hint="eastAsia" w:cs="Times New Roman"/>
                      <w:color w:val="auto"/>
                      <w:highlight w:val="none"/>
                      <w:lang w:eastAsia="zh-CN"/>
                    </w:rPr>
                    <w:t>，</w:t>
                  </w:r>
                  <w:r>
                    <w:rPr>
                      <w:rFonts w:hint="eastAsia" w:cs="Times New Roman"/>
                      <w:color w:val="auto"/>
                      <w:highlight w:val="none"/>
                      <w:lang w:val="en-US" w:eastAsia="zh-CN"/>
                    </w:rPr>
                    <w:t>确保不会对</w:t>
                  </w:r>
                  <w:r>
                    <w:rPr>
                      <w:rFonts w:cs="Times New Roman"/>
                      <w:color w:val="auto"/>
                      <w:highlight w:val="none"/>
                    </w:rPr>
                    <w:t>地下水造成污染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13" w:hRule="atLeast"/>
                <w:jc w:val="center"/>
              </w:trPr>
              <w:tc>
                <w:tcPr>
                  <w:tcW w:w="458"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16"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00"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709"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restart"/>
                  <w:tcBorders>
                    <w:tl2br w:val="nil"/>
                    <w:tr2bl w:val="nil"/>
                  </w:tcBorders>
                  <w:noWrap w:val="0"/>
                  <w:vAlign w:val="center"/>
                </w:tcPr>
                <w:p>
                  <w:pPr>
                    <w:pStyle w:val="35"/>
                    <w:keepNext w:val="0"/>
                    <w:keepLines w:val="0"/>
                    <w:pageBreakBefore w:val="0"/>
                    <w:widowControl w:val="0"/>
                    <w:numPr>
                      <w:ilvl w:val="0"/>
                      <w:numId w:val="3"/>
                    </w:numPr>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eastAsia="zh-CN"/>
                    </w:rPr>
                  </w:pPr>
                </w:p>
              </w:tc>
              <w:tc>
                <w:tcPr>
                  <w:tcW w:w="644"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cs="Times New Roman"/>
                      <w:color w:val="auto"/>
                      <w:highlight w:val="none"/>
                    </w:rPr>
                  </w:pPr>
                  <w:r>
                    <w:rPr>
                      <w:rFonts w:cs="Times New Roman"/>
                      <w:color w:val="auto"/>
                      <w:highlight w:val="none"/>
                    </w:rPr>
                    <w:t>声环境质量底</w:t>
                  </w:r>
                </w:p>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线</w:t>
                  </w:r>
                </w:p>
              </w:tc>
              <w:tc>
                <w:tcPr>
                  <w:tcW w:w="2316"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满足《声环境质量标准》（GB3096-2008）中相应声环境功能区标准要求</w:t>
                  </w:r>
                </w:p>
              </w:tc>
              <w:tc>
                <w:tcPr>
                  <w:tcW w:w="2300"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严格工业企业噪声控制，严格交通噪声管制。</w:t>
                  </w:r>
                </w:p>
              </w:tc>
              <w:tc>
                <w:tcPr>
                  <w:tcW w:w="1709" w:type="dxa"/>
                  <w:vMerge w:val="restart"/>
                  <w:tcBorders>
                    <w:tl2br w:val="nil"/>
                    <w:tr2bl w:val="nil"/>
                  </w:tcBorders>
                  <w:noWrap w:val="0"/>
                  <w:vAlign w:val="center"/>
                </w:tcPr>
                <w:p>
                  <w:pPr>
                    <w:pStyle w:val="57"/>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本项目采取基础减振、厂房隔声等降噪措施，厂界噪声满足《工业企业厂界环境噪声排放标准》（GB12348-2008）要求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8" w:hRule="atLeast"/>
                <w:jc w:val="center"/>
              </w:trPr>
              <w:tc>
                <w:tcPr>
                  <w:tcW w:w="458"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44"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16"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00"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709" w:type="dxa"/>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458" w:type="dxa"/>
                  <w:vMerge w:val="restart"/>
                  <w:tcBorders>
                    <w:tl2br w:val="nil"/>
                    <w:tr2bl w:val="nil"/>
                  </w:tcBorders>
                  <w:noWrap w:val="0"/>
                  <w:vAlign w:val="center"/>
                </w:tcPr>
                <w:p>
                  <w:pPr>
                    <w:keepNext w:val="0"/>
                    <w:keepLines w:val="0"/>
                    <w:pageBreakBefore w:val="0"/>
                    <w:widowControl w:val="0"/>
                    <w:numPr>
                      <w:ilvl w:val="0"/>
                      <w:numId w:val="3"/>
                    </w:numPr>
                    <w:kinsoku/>
                    <w:wordWrap/>
                    <w:overflowPunct/>
                    <w:topLinePunct w:val="0"/>
                    <w:bidi w:val="0"/>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44"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cs="Times New Roman"/>
                      <w:color w:val="auto"/>
                      <w:highlight w:val="none"/>
                    </w:rPr>
                  </w:pPr>
                  <w:r>
                    <w:rPr>
                      <w:rFonts w:cs="Times New Roman"/>
                      <w:color w:val="auto"/>
                      <w:highlight w:val="none"/>
                    </w:rPr>
                    <w:t>土壤环境质量</w:t>
                  </w:r>
                </w:p>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底线</w:t>
                  </w:r>
                </w:p>
              </w:tc>
              <w:tc>
                <w:tcPr>
                  <w:tcW w:w="2316"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cs="Times New Roman"/>
                      <w:color w:val="auto"/>
                      <w:highlight w:val="none"/>
                    </w:rPr>
                  </w:pPr>
                  <w:r>
                    <w:rPr>
                      <w:rFonts w:cs="Times New Roman"/>
                      <w:color w:val="auto"/>
                      <w:highlight w:val="none"/>
                    </w:rPr>
                    <w:t>工业用地满足《土壤环境质量 建设用地土壤污染风险管控标准（试行）》</w:t>
                  </w:r>
                </w:p>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（GB36600-2018）第二类用地风险筛选值</w:t>
                  </w:r>
                </w:p>
              </w:tc>
              <w:tc>
                <w:tcPr>
                  <w:tcW w:w="2300"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cs="Times New Roman"/>
                      <w:color w:val="auto"/>
                      <w:highlight w:val="none"/>
                    </w:rPr>
                    <w:t>禁止建设新增重金属污染物排放量的项目；加强入区企业厂区防渗，杜绝跑冒滴漏和事故状态对土壤环境的污染。</w:t>
                  </w:r>
                </w:p>
              </w:tc>
              <w:tc>
                <w:tcPr>
                  <w:tcW w:w="1709" w:type="dxa"/>
                  <w:vMerge w:val="restart"/>
                  <w:tcBorders>
                    <w:tl2br w:val="nil"/>
                    <w:tr2bl w:val="nil"/>
                  </w:tcBorders>
                  <w:noWrap w:val="0"/>
                  <w:vAlign w:val="center"/>
                </w:tcPr>
                <w:p>
                  <w:pPr>
                    <w:pStyle w:val="57"/>
                    <w:keepNext w:val="0"/>
                    <w:keepLines w:val="0"/>
                    <w:pageBreakBefore w:val="0"/>
                    <w:widowControl w:val="0"/>
                    <w:kinsoku/>
                    <w:wordWrap/>
                    <w:overflowPunct/>
                    <w:topLinePunct w:val="0"/>
                    <w:bidi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本项目无重金属排放，</w:t>
                  </w:r>
                  <w:r>
                    <w:rPr>
                      <w:rFonts w:hint="default" w:ascii="Times New Roman" w:hAnsi="Times New Roman" w:eastAsia="宋体" w:cs="Times New Roman"/>
                      <w:color w:val="auto"/>
                      <w:sz w:val="21"/>
                      <w:szCs w:val="21"/>
                      <w:highlight w:val="none"/>
                      <w:shd w:val="clear" w:color="auto" w:fill="auto"/>
                      <w:lang w:val="zh-CN"/>
                    </w:rPr>
                    <w:t>采取源头治理</w:t>
                  </w:r>
                  <w:r>
                    <w:rPr>
                      <w:rFonts w:hint="eastAsia" w:cs="Times New Roman"/>
                      <w:color w:val="auto"/>
                      <w:sz w:val="21"/>
                      <w:szCs w:val="21"/>
                      <w:highlight w:val="none"/>
                      <w:shd w:val="clear" w:color="auto" w:fill="auto"/>
                      <w:lang w:val="zh-CN"/>
                    </w:rPr>
                    <w:t>、</w:t>
                  </w:r>
                  <w:r>
                    <w:rPr>
                      <w:rFonts w:hint="default" w:ascii="Times New Roman" w:hAnsi="Times New Roman" w:eastAsia="宋体" w:cs="Times New Roman"/>
                      <w:color w:val="auto"/>
                      <w:sz w:val="21"/>
                      <w:szCs w:val="21"/>
                      <w:highlight w:val="none"/>
                      <w:shd w:val="clear" w:color="auto" w:fill="auto"/>
                      <w:lang w:val="zh-CN"/>
                    </w:rPr>
                    <w:t>分区防渗、污染监控及应急响应等措施，确保项目的入区不会对土壤造成污染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93" w:hRule="atLeast"/>
                <w:jc w:val="center"/>
              </w:trPr>
              <w:tc>
                <w:tcPr>
                  <w:tcW w:w="458"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highlight w:val="none"/>
                    </w:rPr>
                  </w:pPr>
                </w:p>
              </w:tc>
              <w:tc>
                <w:tcPr>
                  <w:tcW w:w="644"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color w:val="auto"/>
                      <w:sz w:val="21"/>
                      <w:szCs w:val="21"/>
                      <w:highlight w:val="none"/>
                    </w:rPr>
                  </w:pPr>
                </w:p>
              </w:tc>
              <w:tc>
                <w:tcPr>
                  <w:tcW w:w="2316"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2300"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709" w:type="dxa"/>
                  <w:vMerge w:val="continue"/>
                  <w:tcBorders>
                    <w:tl2br w:val="nil"/>
                    <w:tr2bl w:val="nil"/>
                  </w:tcBorders>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由上表可知，本项目符合</w:t>
            </w:r>
            <w:r>
              <w:rPr>
                <w:rFonts w:cs="Times New Roman"/>
                <w:color w:val="auto"/>
                <w:highlight w:val="none"/>
              </w:rPr>
              <w:t>唐山高新区北部拓展区</w:t>
            </w:r>
            <w:r>
              <w:rPr>
                <w:rFonts w:hint="eastAsia" w:cs="Times New Roman"/>
                <w:color w:val="auto"/>
                <w:highlight w:val="none"/>
                <w:lang w:val="en-US" w:eastAsia="zh-CN"/>
              </w:rPr>
              <w:t>环境质量底线要求。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shd w:val="clear" w:color="auto" w:fill="auto"/>
              </w:rPr>
            </w:pP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资源利用上线</w:t>
            </w:r>
          </w:p>
          <w:p>
            <w:pPr>
              <w:pStyle w:val="6"/>
              <w:ind w:firstLine="480"/>
              <w:rPr>
                <w:rFonts w:hint="eastAsia" w:ascii="Times New Roman" w:hAnsi="Times New Roman" w:eastAsia="宋体" w:cs="Times New Roman"/>
                <w:color w:val="auto"/>
                <w:highlight w:val="none"/>
                <w:lang w:val="en-US" w:eastAsia="zh-CN"/>
              </w:rPr>
            </w:pPr>
            <w:r>
              <w:rPr>
                <w:rFonts w:ascii="Times New Roman" w:hAnsi="Times New Roman" w:cs="Times New Roman"/>
                <w:color w:val="auto"/>
                <w:highlight w:val="none"/>
              </w:rPr>
              <w:t>资源利用上线主要包括能源利用上线、水资源利用上线和土地资源利用上线。</w:t>
            </w:r>
            <w:r>
              <w:rPr>
                <w:rFonts w:cs="Times New Roman"/>
                <w:color w:val="auto"/>
                <w:highlight w:val="none"/>
              </w:rPr>
              <w:t>开发区资源利用上限</w:t>
            </w:r>
            <w:r>
              <w:rPr>
                <w:rFonts w:hint="eastAsia" w:cs="Times New Roman"/>
                <w:color w:val="auto"/>
                <w:highlight w:val="none"/>
                <w:lang w:val="en-US" w:eastAsia="zh-CN"/>
              </w:rPr>
              <w:t>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baseline"/>
              <w:rPr>
                <w:rFonts w:hint="eastAsia" w:ascii="Times New Roman" w:hAnsi="Times New Roman" w:eastAsia="宋体" w:cs="Times New Roman"/>
                <w:b/>
                <w:color w:val="auto"/>
                <w:sz w:val="21"/>
                <w:szCs w:val="21"/>
                <w:highlight w:val="none"/>
                <w:shd w:val="clear" w:color="auto" w:fill="auto"/>
                <w:lang w:val="en-US" w:eastAsia="zh-CN" w:bidi="ar"/>
              </w:rPr>
            </w:pPr>
            <w:r>
              <w:rPr>
                <w:rFonts w:hint="default" w:ascii="Times New Roman" w:hAnsi="Times New Roman" w:eastAsia="宋体" w:cs="Times New Roman"/>
                <w:b/>
                <w:color w:val="auto"/>
                <w:sz w:val="21"/>
                <w:szCs w:val="21"/>
                <w:highlight w:val="none"/>
                <w:shd w:val="clear" w:color="auto" w:fill="auto"/>
                <w:lang w:bidi="ar"/>
              </w:rPr>
              <w:t>表</w:t>
            </w:r>
            <w:r>
              <w:rPr>
                <w:rFonts w:hint="eastAsia" w:cs="Times New Roman"/>
                <w:b/>
                <w:color w:val="auto"/>
                <w:sz w:val="21"/>
                <w:szCs w:val="21"/>
                <w:highlight w:val="none"/>
                <w:shd w:val="clear" w:color="auto" w:fill="auto"/>
                <w:lang w:val="en-US" w:eastAsia="zh-CN" w:bidi="ar"/>
              </w:rPr>
              <w:t>4</w:t>
            </w:r>
            <w:r>
              <w:rPr>
                <w:rFonts w:hint="eastAsia" w:eastAsia="宋体" w:cs="Times New Roman"/>
                <w:b/>
                <w:color w:val="auto"/>
                <w:sz w:val="21"/>
                <w:szCs w:val="21"/>
                <w:highlight w:val="none"/>
                <w:shd w:val="clear" w:color="auto" w:fill="auto"/>
                <w:lang w:val="en-US" w:eastAsia="zh-CN" w:bidi="ar"/>
              </w:rPr>
              <w:t xml:space="preserve">  开发区资源能源利用上限指标</w:t>
            </w:r>
            <w:r>
              <w:rPr>
                <w:rFonts w:hint="eastAsia" w:ascii="Times New Roman" w:hAnsi="Times New Roman" w:eastAsia="宋体" w:cs="Times New Roman"/>
                <w:b/>
                <w:color w:val="auto"/>
                <w:sz w:val="21"/>
                <w:szCs w:val="21"/>
                <w:highlight w:val="none"/>
                <w:shd w:val="clear" w:color="auto" w:fill="auto"/>
                <w:lang w:val="en-US" w:eastAsia="zh-CN" w:bidi="ar"/>
              </w:rPr>
              <w:t>一览表</w:t>
            </w:r>
          </w:p>
          <w:tbl>
            <w:tblPr>
              <w:tblStyle w:val="25"/>
              <w:tblW w:w="7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025"/>
              <w:gridCol w:w="1095"/>
              <w:gridCol w:w="1125"/>
              <w:gridCol w:w="1290"/>
              <w:gridCol w:w="13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序号</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资源种类</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规划资源利用量</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现状资源利用量</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相差量</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本项目利用量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总用水量（万m</w:t>
                  </w:r>
                  <w:r>
                    <w:rPr>
                      <w:color w:val="auto"/>
                      <w:highlight w:val="none"/>
                      <w:vertAlign w:val="superscript"/>
                    </w:rPr>
                    <w:t>3</w:t>
                  </w:r>
                  <w:r>
                    <w:rPr>
                      <w:color w:val="auto"/>
                      <w:highlight w:val="none"/>
                    </w:rPr>
                    <w:t>/a）</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2755.75</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196.5486</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2559.2014</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yellow"/>
                      <w:lang w:val="en-US" w:eastAsia="zh-CN"/>
                    </w:rPr>
                  </w:pPr>
                  <w:r>
                    <w:rPr>
                      <w:rFonts w:hint="eastAsia"/>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2</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燃气量（万m</w:t>
                  </w:r>
                  <w:r>
                    <w:rPr>
                      <w:color w:val="auto"/>
                      <w:highlight w:val="none"/>
                      <w:vertAlign w:val="superscript"/>
                    </w:rPr>
                    <w:t>3</w:t>
                  </w:r>
                  <w:r>
                    <w:rPr>
                      <w:color w:val="auto"/>
                      <w:highlight w:val="none"/>
                    </w:rPr>
                    <w:t>/a）</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15840</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1471.58</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14368.43</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highlight w:val="yellow"/>
                      <w:lang w:val="en-US" w:eastAsia="zh-CN"/>
                    </w:rPr>
                  </w:pPr>
                  <w:r>
                    <w:rPr>
                      <w:rFonts w:hint="eastAsia"/>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3</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用电量（万KWh/a）</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43270</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8667.56</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34602.44</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10万k</w:t>
                  </w:r>
                  <w:r>
                    <w:rPr>
                      <w:color w:val="auto"/>
                      <w:highlight w:val="none"/>
                    </w:rPr>
                    <w:t>Wh/a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4</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热力（MW/h）</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1126.3</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18.91</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1108.79</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1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5</w:t>
                  </w:r>
                </w:p>
              </w:tc>
              <w:tc>
                <w:tcPr>
                  <w:tcW w:w="20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土地资源（km</w:t>
                  </w:r>
                  <w:r>
                    <w:rPr>
                      <w:color w:val="auto"/>
                      <w:highlight w:val="none"/>
                      <w:vertAlign w:val="superscript"/>
                    </w:rPr>
                    <w:t>2</w:t>
                  </w:r>
                  <w:r>
                    <w:rPr>
                      <w:color w:val="auto"/>
                      <w:highlight w:val="none"/>
                    </w:rPr>
                    <w:t>）</w:t>
                  </w:r>
                </w:p>
              </w:tc>
              <w:tc>
                <w:tcPr>
                  <w:tcW w:w="109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5.28</w:t>
                  </w:r>
                </w:p>
              </w:tc>
              <w:tc>
                <w:tcPr>
                  <w:tcW w:w="11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2.22</w:t>
                  </w:r>
                </w:p>
              </w:tc>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color w:val="auto"/>
                      <w:highlight w:val="none"/>
                    </w:rPr>
                    <w:t>3.06</w:t>
                  </w:r>
                </w:p>
              </w:tc>
              <w:tc>
                <w:tcPr>
                  <w:tcW w:w="137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highlight w:val="none"/>
                      <w:lang w:val="en-US" w:eastAsia="zh-CN"/>
                    </w:rPr>
                  </w:pPr>
                  <w:r>
                    <w:rPr>
                      <w:rFonts w:hint="eastAsia"/>
                      <w:color w:val="auto"/>
                      <w:highlight w:val="none"/>
                      <w:lang w:val="en-US" w:eastAsia="zh-CN"/>
                    </w:rPr>
                    <w:t>0</w:t>
                  </w:r>
                </w:p>
              </w:tc>
            </w:tr>
          </w:tbl>
          <w:p>
            <w:pPr>
              <w:spacing w:line="480" w:lineRule="exact"/>
              <w:ind w:firstLine="480" w:firstLineChars="200"/>
              <w:jc w:val="left"/>
              <w:rPr>
                <w:rFonts w:hint="default" w:ascii="Times New Roman" w:hAnsi="Times New Roman" w:eastAsia="宋体" w:cs="Times New Roman"/>
                <w:color w:val="auto"/>
                <w:sz w:val="24"/>
                <w:szCs w:val="21"/>
                <w:highlight w:val="none"/>
                <w:shd w:val="clear" w:color="auto" w:fill="auto"/>
                <w:lang w:val="zh-CN"/>
              </w:rPr>
            </w:pPr>
            <w:r>
              <w:rPr>
                <w:rFonts w:hint="default" w:ascii="Times New Roman" w:hAnsi="Times New Roman" w:eastAsia="宋体" w:cs="Times New Roman"/>
                <w:color w:val="auto"/>
                <w:kern w:val="2"/>
                <w:sz w:val="24"/>
                <w:szCs w:val="24"/>
                <w:highlight w:val="none"/>
                <w:lang w:val="en-US" w:eastAsia="zh-CN" w:bidi="ar-SA"/>
              </w:rPr>
              <w:t>由上表分析可知，</w:t>
            </w:r>
            <w:r>
              <w:rPr>
                <w:rFonts w:hint="eastAsia"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不增加用水量、燃气量消耗，不新增占地，无热力消耗，用电量较少，</w:t>
            </w:r>
            <w:r>
              <w:rPr>
                <w:rFonts w:hint="eastAsia" w:ascii="Times New Roman" w:hAnsi="Times New Roman" w:eastAsia="宋体" w:cs="Times New Roman"/>
                <w:color w:val="auto"/>
                <w:kern w:val="2"/>
                <w:sz w:val="24"/>
                <w:szCs w:val="24"/>
                <w:highlight w:val="none"/>
                <w:lang w:val="en-US" w:eastAsia="zh-CN" w:bidi="ar-SA"/>
              </w:rPr>
              <w:t>符合开发区资源利用上线相关要求</w:t>
            </w:r>
            <w:r>
              <w:rPr>
                <w:rFonts w:hint="default" w:ascii="Times New Roman" w:hAnsi="Times New Roman" w:eastAsia="宋体" w:cs="Times New Roman"/>
                <w:color w:val="auto"/>
                <w:sz w:val="24"/>
                <w:szCs w:val="21"/>
                <w:highlight w:val="none"/>
                <w:shd w:val="clear" w:color="auto" w:fill="auto"/>
              </w:rPr>
              <w:t>。</w:t>
            </w:r>
          </w:p>
          <w:p>
            <w:pPr>
              <w:spacing w:line="480" w:lineRule="exact"/>
              <w:ind w:firstLine="480" w:firstLineChars="200"/>
              <w:jc w:val="left"/>
              <w:rPr>
                <w:rFonts w:hint="default" w:ascii="Times New Roman" w:hAnsi="Times New Roman" w:eastAsia="宋体" w:cs="Times New Roman"/>
                <w:color w:val="auto"/>
                <w:sz w:val="24"/>
                <w:szCs w:val="21"/>
                <w:highlight w:val="none"/>
                <w:shd w:val="clear" w:color="auto" w:fill="auto"/>
              </w:rPr>
            </w:pPr>
            <w:r>
              <w:rPr>
                <w:rFonts w:hint="eastAsia" w:cs="Times New Roman"/>
                <w:color w:val="auto"/>
                <w:sz w:val="24"/>
                <w:szCs w:val="21"/>
                <w:highlight w:val="none"/>
                <w:shd w:val="clear" w:color="auto" w:fill="auto"/>
                <w:lang w:val="en-US" w:eastAsia="zh-CN"/>
              </w:rPr>
              <w:t>（4）</w:t>
            </w:r>
            <w:r>
              <w:rPr>
                <w:rFonts w:hint="default" w:ascii="Times New Roman" w:hAnsi="Times New Roman" w:eastAsia="宋体" w:cs="Times New Roman"/>
                <w:color w:val="auto"/>
                <w:sz w:val="24"/>
                <w:szCs w:val="21"/>
                <w:highlight w:val="none"/>
                <w:shd w:val="clear" w:color="auto" w:fill="auto"/>
                <w:lang w:val="zh-CN"/>
              </w:rPr>
              <w:t>环境准入负面清单</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lang w:eastAsia="zh-CN"/>
              </w:rPr>
            </w:pPr>
            <w:r>
              <w:rPr>
                <w:rFonts w:ascii="Times New Roman" w:hAnsi="Times New Roman" w:cs="Times New Roman"/>
                <w:color w:val="auto"/>
                <w:highlight w:val="none"/>
              </w:rPr>
              <w:t>根据开发区规划产业类别、相关产业政策及环境准入要求</w:t>
            </w:r>
            <w:r>
              <w:rPr>
                <w:rFonts w:hint="default" w:ascii="Times New Roman" w:hAnsi="Times New Roman" w:eastAsia="宋体" w:cs="Times New Roman"/>
                <w:color w:val="auto"/>
                <w:kern w:val="0"/>
                <w:sz w:val="24"/>
                <w:szCs w:val="24"/>
                <w:highlight w:val="none"/>
                <w:lang w:eastAsia="zh-CN"/>
              </w:rPr>
              <w:t>，本项目与开发区生态环境准入清单符合性分析见下表。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baseline"/>
              <w:rPr>
                <w:rFonts w:hint="default" w:ascii="Times New Roman" w:hAnsi="Times New Roman" w:eastAsia="宋体" w:cs="Times New Roman"/>
                <w:b/>
                <w:color w:val="auto"/>
                <w:sz w:val="21"/>
                <w:szCs w:val="21"/>
                <w:highlight w:val="none"/>
                <w:shd w:val="clear" w:color="auto" w:fill="auto"/>
                <w:lang w:val="en-US" w:eastAsia="zh-CN" w:bidi="ar"/>
              </w:rPr>
            </w:pPr>
            <w:r>
              <w:rPr>
                <w:rFonts w:hint="default" w:ascii="Times New Roman" w:hAnsi="Times New Roman" w:eastAsia="宋体" w:cs="Times New Roman"/>
                <w:b/>
                <w:color w:val="auto"/>
                <w:sz w:val="21"/>
                <w:szCs w:val="21"/>
                <w:highlight w:val="none"/>
                <w:shd w:val="clear" w:color="auto" w:fill="auto"/>
                <w:lang w:val="zh-CN" w:bidi="ar"/>
              </w:rPr>
              <w:t>表</w:t>
            </w:r>
            <w:r>
              <w:rPr>
                <w:rFonts w:hint="eastAsia" w:cs="Times New Roman"/>
                <w:b/>
                <w:color w:val="auto"/>
                <w:sz w:val="21"/>
                <w:szCs w:val="21"/>
                <w:highlight w:val="none"/>
                <w:shd w:val="clear" w:color="auto" w:fill="auto"/>
                <w:lang w:val="en-US" w:eastAsia="zh-CN" w:bidi="ar"/>
              </w:rPr>
              <w:t>5</w:t>
            </w:r>
            <w:r>
              <w:rPr>
                <w:rFonts w:hint="eastAsia" w:eastAsia="宋体" w:cs="Times New Roman"/>
                <w:b/>
                <w:color w:val="auto"/>
                <w:sz w:val="21"/>
                <w:szCs w:val="21"/>
                <w:highlight w:val="none"/>
                <w:shd w:val="clear" w:color="auto" w:fill="auto"/>
                <w:lang w:val="en-US" w:eastAsia="zh-CN" w:bidi="ar"/>
              </w:rPr>
              <w:t xml:space="preserve">  </w:t>
            </w:r>
            <w:r>
              <w:rPr>
                <w:rFonts w:hint="default" w:ascii="Times New Roman" w:hAnsi="Times New Roman" w:eastAsia="宋体" w:cs="Times New Roman"/>
                <w:b/>
                <w:color w:val="auto"/>
                <w:sz w:val="21"/>
                <w:szCs w:val="21"/>
                <w:highlight w:val="none"/>
                <w:shd w:val="clear" w:color="auto" w:fill="auto"/>
                <w:lang w:val="zh-CN" w:bidi="ar"/>
              </w:rPr>
              <w:t>开发区</w:t>
            </w:r>
            <w:r>
              <w:rPr>
                <w:rFonts w:hint="eastAsia" w:cs="Times New Roman"/>
                <w:b/>
                <w:color w:val="auto"/>
                <w:sz w:val="21"/>
                <w:szCs w:val="21"/>
                <w:highlight w:val="none"/>
                <w:shd w:val="clear" w:color="auto" w:fill="auto"/>
                <w:lang w:val="en-US" w:eastAsia="zh-CN" w:bidi="ar"/>
              </w:rPr>
              <w:t>过渡期生态</w:t>
            </w:r>
            <w:r>
              <w:rPr>
                <w:rFonts w:hint="default" w:ascii="Times New Roman" w:hAnsi="Times New Roman" w:eastAsia="宋体" w:cs="Times New Roman"/>
                <w:b/>
                <w:color w:val="auto"/>
                <w:sz w:val="21"/>
                <w:szCs w:val="21"/>
                <w:highlight w:val="none"/>
                <w:shd w:val="clear" w:color="auto" w:fill="auto"/>
                <w:lang w:val="zh-CN" w:bidi="ar"/>
              </w:rPr>
              <w:t>环境准入清单</w:t>
            </w:r>
            <w:r>
              <w:rPr>
                <w:rFonts w:hint="eastAsia" w:ascii="Times New Roman" w:hAnsi="Times New Roman" w:eastAsia="宋体" w:cs="Times New Roman"/>
                <w:b/>
                <w:color w:val="auto"/>
                <w:sz w:val="21"/>
                <w:szCs w:val="21"/>
                <w:highlight w:val="none"/>
                <w:shd w:val="clear" w:color="auto" w:fill="auto"/>
                <w:lang w:val="en-US" w:eastAsia="zh-CN" w:bidi="ar"/>
              </w:rPr>
              <w:t>一览表</w:t>
            </w:r>
          </w:p>
          <w:tbl>
            <w:tblPr>
              <w:tblStyle w:val="24"/>
              <w:tblW w:w="7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610"/>
              <w:gridCol w:w="2549"/>
              <w:gridCol w:w="1930"/>
              <w:gridCol w:w="8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2114" w:type="dxa"/>
                  <w:gridSpan w:val="2"/>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类别</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禁止、限制类项目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本项目情况</w:t>
                  </w:r>
                </w:p>
              </w:tc>
              <w:tc>
                <w:tcPr>
                  <w:tcW w:w="834"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504" w:type="dxa"/>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禁止类</w:t>
                  </w:r>
                </w:p>
              </w:tc>
              <w:tc>
                <w:tcPr>
                  <w:tcW w:w="161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szCs w:val="21"/>
                      <w:highlight w:val="none"/>
                    </w:rPr>
                    <w:t>新能源产业、高效节能与环保产业、新型装备制造产业、智能仪器仪表产业、机器人产业、汽车零部件产业</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szCs w:val="21"/>
                      <w:highlight w:val="none"/>
                    </w:rPr>
                    <w:t>禁止引入涉及重金属的金属表面处理及热处理（电镀）项目；禁止新增铸造产能建设项目</w:t>
                  </w:r>
                </w:p>
              </w:tc>
              <w:tc>
                <w:tcPr>
                  <w:tcW w:w="1930" w:type="dxa"/>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szCs w:val="21"/>
                      <w:highlight w:val="none"/>
                      <w:lang w:val="en-US" w:eastAsia="zh-CN"/>
                    </w:rPr>
                  </w:pPr>
                  <w:r>
                    <w:rPr>
                      <w:rFonts w:hint="eastAsia" w:cs="Times New Roman"/>
                      <w:color w:val="auto"/>
                      <w:sz w:val="21"/>
                      <w:szCs w:val="21"/>
                      <w:highlight w:val="none"/>
                      <w:lang w:val="en-US" w:eastAsia="zh-CN"/>
                    </w:rPr>
                    <w:t>本项目</w:t>
                  </w:r>
                  <w:r>
                    <w:rPr>
                      <w:rFonts w:hint="eastAsia" w:eastAsia="宋体" w:cs="Times New Roman"/>
                      <w:color w:val="auto"/>
                      <w:sz w:val="21"/>
                      <w:szCs w:val="21"/>
                      <w:highlight w:val="none"/>
                      <w:lang w:val="zh-CN" w:eastAsia="zh-CN"/>
                    </w:rPr>
                    <w:t>主要</w:t>
                  </w:r>
                  <w:r>
                    <w:rPr>
                      <w:rFonts w:hint="eastAsia" w:cs="Times New Roman"/>
                      <w:color w:val="auto"/>
                      <w:sz w:val="21"/>
                      <w:szCs w:val="21"/>
                      <w:highlight w:val="none"/>
                      <w:lang w:val="zh-CN" w:eastAsia="zh-CN"/>
                    </w:rPr>
                    <w:t>对现有石墨烯电发热元件生产线进行改造，调整产品方案，购置石墨烯电发热膜相关设备</w:t>
                  </w:r>
                  <w:r>
                    <w:rPr>
                      <w:rFonts w:hint="eastAsia" w:eastAsia="宋体" w:cs="Times New Roman"/>
                      <w:color w:val="auto"/>
                      <w:sz w:val="21"/>
                      <w:szCs w:val="21"/>
                      <w:highlight w:val="none"/>
                      <w:lang w:val="zh-CN" w:eastAsia="zh-CN"/>
                    </w:rPr>
                    <w:t>，新增年产石墨烯电发热膜10000套/a</w:t>
                  </w:r>
                  <w:r>
                    <w:rPr>
                      <w:rFonts w:hint="eastAsia" w:cs="Times New Roman"/>
                      <w:color w:val="auto"/>
                      <w:sz w:val="21"/>
                      <w:szCs w:val="21"/>
                      <w:highlight w:val="none"/>
                      <w:lang w:val="zh-CN" w:eastAsia="zh-CN"/>
                    </w:rPr>
                    <w:t>，</w:t>
                  </w:r>
                  <w:r>
                    <w:rPr>
                      <w:rFonts w:hint="eastAsia" w:eastAsia="宋体" w:cs="Times New Roman"/>
                      <w:color w:val="auto"/>
                      <w:sz w:val="21"/>
                      <w:szCs w:val="21"/>
                      <w:highlight w:val="none"/>
                      <w:lang w:val="zh-CN" w:eastAsia="zh-CN"/>
                    </w:rPr>
                    <w:t>同时，新建节能速热电锅炉组装生产线，将</w:t>
                  </w:r>
                  <w:r>
                    <w:rPr>
                      <w:rFonts w:hint="eastAsia" w:cs="Times New Roman"/>
                      <w:color w:val="auto"/>
                      <w:sz w:val="21"/>
                      <w:szCs w:val="21"/>
                      <w:highlight w:val="none"/>
                      <w:lang w:val="zh-CN" w:eastAsia="zh-CN"/>
                    </w:rPr>
                    <w:t>石墨烯电发热体生产线生产的石墨烯电发热体与进购的机箱外壳、触摸控制板、耐高温线等零配件采用手工和螺丝进行组装</w:t>
                  </w:r>
                  <w:r>
                    <w:rPr>
                      <w:rFonts w:hint="eastAsia" w:eastAsia="宋体" w:cs="Times New Roman"/>
                      <w:color w:val="auto"/>
                      <w:sz w:val="21"/>
                      <w:szCs w:val="21"/>
                      <w:highlight w:val="none"/>
                      <w:lang w:val="zh-CN" w:eastAsia="zh-CN"/>
                    </w:rPr>
                    <w:t>，生产节能速热电锅炉</w:t>
                  </w: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属于</w:t>
                  </w:r>
                  <w:r>
                    <w:rPr>
                      <w:rFonts w:hint="eastAsia" w:eastAsia="宋体" w:cs="Times New Roman"/>
                      <w:color w:val="auto"/>
                      <w:sz w:val="21"/>
                      <w:szCs w:val="21"/>
                      <w:highlight w:val="none"/>
                      <w:lang w:val="zh-CN" w:eastAsia="zh-CN"/>
                    </w:rPr>
                    <w:t>新材料产业，</w:t>
                  </w:r>
                  <w:r>
                    <w:rPr>
                      <w:rFonts w:hint="eastAsia" w:eastAsia="宋体" w:cs="Times New Roman"/>
                      <w:color w:val="auto"/>
                      <w:sz w:val="21"/>
                      <w:szCs w:val="21"/>
                      <w:highlight w:val="none"/>
                      <w:lang w:val="en-US" w:eastAsia="zh-CN"/>
                    </w:rPr>
                    <w:t>不</w:t>
                  </w:r>
                  <w:r>
                    <w:rPr>
                      <w:rFonts w:cs="Times New Roman"/>
                      <w:color w:val="auto"/>
                      <w:highlight w:val="none"/>
                    </w:rPr>
                    <w:t>涉及化学转化工序</w:t>
                  </w:r>
                </w:p>
              </w:tc>
              <w:tc>
                <w:tcPr>
                  <w:tcW w:w="834" w:type="dxa"/>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szCs w:val="21"/>
                      <w:highlight w:val="none"/>
                      <w:lang w:val="en-US" w:eastAsia="zh-CN"/>
                    </w:rPr>
                  </w:pPr>
                  <w:r>
                    <w:rPr>
                      <w:rFonts w:hint="eastAsia" w:eastAsia="宋体" w:cs="Times New Roman"/>
                      <w:color w:val="auto"/>
                      <w:szCs w:val="21"/>
                      <w:highlight w:val="none"/>
                      <w:lang w:val="en-US" w:eastAsia="zh-CN"/>
                    </w:rPr>
                    <w:t>不属于开发区生态环境准入清单中禁止类项目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szCs w:val="21"/>
                      <w:highlight w:val="none"/>
                    </w:rPr>
                    <w:t>生物医药研发</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szCs w:val="21"/>
                      <w:highlight w:val="none"/>
                    </w:rPr>
                    <w:t>禁止引入合成类、排污型药物的生产</w:t>
                  </w:r>
                </w:p>
              </w:tc>
              <w:tc>
                <w:tcPr>
                  <w:tcW w:w="193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eastAsia" w:eastAsia="宋体" w:cs="Times New Roman"/>
                      <w:color w:val="auto"/>
                      <w:szCs w:val="21"/>
                      <w:highlight w:val="none"/>
                      <w:lang w:val="en-US" w:eastAsia="zh-CN"/>
                    </w:rPr>
                  </w:pP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新材料产业</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化工新材料禁止引入涉及化学转化工序的企业</w:t>
                  </w:r>
                </w:p>
              </w:tc>
              <w:tc>
                <w:tcPr>
                  <w:tcW w:w="193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仓储物流</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禁止引入有毒有害、易燃易爆及危险化学品储运企业</w:t>
                  </w:r>
                </w:p>
              </w:tc>
              <w:tc>
                <w:tcPr>
                  <w:tcW w:w="193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软件信息服务产业</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禁止引入《网络借贷信息中介机构业务活动管理暂行办法》中禁止类项目</w:t>
                  </w:r>
                </w:p>
              </w:tc>
              <w:tc>
                <w:tcPr>
                  <w:tcW w:w="193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其他</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禁止引入《产业结构调整指导目录</w:t>
                  </w:r>
                  <w:r>
                    <w:rPr>
                      <w:rFonts w:hint="eastAsia" w:cs="Times New Roman"/>
                      <w:color w:val="auto"/>
                      <w:highlight w:val="none"/>
                      <w:lang w:eastAsia="zh-CN"/>
                    </w:rPr>
                    <w:t>（</w:t>
                  </w:r>
                  <w:r>
                    <w:rPr>
                      <w:rFonts w:cs="Times New Roman"/>
                      <w:color w:val="auto"/>
                      <w:highlight w:val="none"/>
                    </w:rPr>
                    <w:t>2019年本</w:t>
                  </w:r>
                  <w:r>
                    <w:rPr>
                      <w:rFonts w:hint="eastAsia" w:cs="Times New Roman"/>
                      <w:color w:val="auto"/>
                      <w:highlight w:val="none"/>
                      <w:lang w:eastAsia="zh-CN"/>
                    </w:rPr>
                    <w:t>）</w:t>
                  </w:r>
                  <w:r>
                    <w:rPr>
                      <w:rFonts w:cs="Times New Roman"/>
                      <w:color w:val="auto"/>
                      <w:highlight w:val="none"/>
                    </w:rPr>
                    <w:t>、《河北省新增限制和淘汰类产业目录</w:t>
                  </w:r>
                  <w:r>
                    <w:rPr>
                      <w:rFonts w:hint="eastAsia" w:cs="Times New Roman"/>
                      <w:color w:val="auto"/>
                      <w:highlight w:val="none"/>
                      <w:lang w:eastAsia="zh-CN"/>
                    </w:rPr>
                    <w:t>（</w:t>
                  </w:r>
                  <w:r>
                    <w:rPr>
                      <w:rFonts w:cs="Times New Roman"/>
                      <w:color w:val="auto"/>
                      <w:highlight w:val="none"/>
                    </w:rPr>
                    <w:t>2015年本</w:t>
                  </w:r>
                  <w:r>
                    <w:rPr>
                      <w:rFonts w:hint="eastAsia" w:cs="Times New Roman"/>
                      <w:color w:val="auto"/>
                      <w:highlight w:val="none"/>
                      <w:lang w:eastAsia="zh-CN"/>
                    </w:rPr>
                    <w:t>）</w:t>
                  </w:r>
                  <w:r>
                    <w:rPr>
                      <w:rFonts w:cs="Times New Roman"/>
                      <w:color w:val="auto"/>
                      <w:highlight w:val="none"/>
                    </w:rPr>
                    <w:t>》中属于限制类和淘汰类的项目、《外商投资准入特别管理措施（负面清单）（2020年版）》、《市场准入负面清单（2020年版）》中禁止或许可事项的项目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本项目不属于</w:t>
                  </w:r>
                  <w:r>
                    <w:rPr>
                      <w:rFonts w:cs="Times New Roman"/>
                      <w:color w:val="auto"/>
                      <w:highlight w:val="none"/>
                    </w:rPr>
                    <w:t>《产业结构调整指导目录</w:t>
                  </w:r>
                  <w:r>
                    <w:rPr>
                      <w:rFonts w:hint="eastAsia" w:cs="Times New Roman"/>
                      <w:color w:val="auto"/>
                      <w:highlight w:val="none"/>
                      <w:lang w:eastAsia="zh-CN"/>
                    </w:rPr>
                    <w:t>（</w:t>
                  </w:r>
                  <w:r>
                    <w:rPr>
                      <w:rFonts w:cs="Times New Roman"/>
                      <w:color w:val="auto"/>
                      <w:highlight w:val="none"/>
                    </w:rPr>
                    <w:t>2019年本</w:t>
                  </w:r>
                  <w:r>
                    <w:rPr>
                      <w:rFonts w:hint="eastAsia" w:cs="Times New Roman"/>
                      <w:color w:val="auto"/>
                      <w:highlight w:val="none"/>
                      <w:lang w:eastAsia="zh-CN"/>
                    </w:rPr>
                    <w:t>）</w:t>
                  </w:r>
                  <w:r>
                    <w:rPr>
                      <w:rFonts w:cs="Times New Roman"/>
                      <w:color w:val="auto"/>
                      <w:highlight w:val="none"/>
                    </w:rPr>
                    <w:t>、《河北省新增限制和淘汰类产业目录</w:t>
                  </w:r>
                  <w:r>
                    <w:rPr>
                      <w:rFonts w:hint="eastAsia" w:cs="Times New Roman"/>
                      <w:color w:val="auto"/>
                      <w:highlight w:val="none"/>
                      <w:lang w:eastAsia="zh-CN"/>
                    </w:rPr>
                    <w:t>（</w:t>
                  </w:r>
                  <w:r>
                    <w:rPr>
                      <w:rFonts w:cs="Times New Roman"/>
                      <w:color w:val="auto"/>
                      <w:highlight w:val="none"/>
                    </w:rPr>
                    <w:t>2015年本</w:t>
                  </w:r>
                  <w:r>
                    <w:rPr>
                      <w:rFonts w:hint="eastAsia" w:cs="Times New Roman"/>
                      <w:color w:val="auto"/>
                      <w:highlight w:val="none"/>
                      <w:lang w:eastAsia="zh-CN"/>
                    </w:rPr>
                    <w:t>）</w:t>
                  </w:r>
                  <w:r>
                    <w:rPr>
                      <w:rFonts w:cs="Times New Roman"/>
                      <w:color w:val="auto"/>
                      <w:highlight w:val="none"/>
                    </w:rPr>
                    <w:t>》</w:t>
                  </w:r>
                  <w:r>
                    <w:rPr>
                      <w:rFonts w:hint="eastAsia" w:cs="Times New Roman"/>
                      <w:color w:val="auto"/>
                      <w:highlight w:val="none"/>
                      <w:lang w:eastAsia="zh-CN"/>
                    </w:rPr>
                    <w:t>（</w:t>
                  </w:r>
                  <w:r>
                    <w:rPr>
                      <w:rFonts w:hint="eastAsia" w:cs="Times New Roman"/>
                      <w:color w:val="auto"/>
                      <w:highlight w:val="none"/>
                      <w:lang w:val="en-US" w:eastAsia="zh-CN"/>
                    </w:rPr>
                    <w:t>2021年修订</w:t>
                  </w:r>
                  <w:r>
                    <w:rPr>
                      <w:rFonts w:hint="eastAsia" w:cs="Times New Roman"/>
                      <w:color w:val="auto"/>
                      <w:highlight w:val="none"/>
                      <w:lang w:eastAsia="zh-CN"/>
                    </w:rPr>
                    <w:t>）</w:t>
                  </w:r>
                  <w:r>
                    <w:rPr>
                      <w:rFonts w:cs="Times New Roman"/>
                      <w:color w:val="auto"/>
                      <w:highlight w:val="none"/>
                    </w:rPr>
                    <w:t>中属于限制类和淘汰类的项目</w:t>
                  </w:r>
                  <w:r>
                    <w:rPr>
                      <w:rFonts w:hint="eastAsia" w:cs="Times New Roman"/>
                      <w:color w:val="auto"/>
                      <w:highlight w:val="none"/>
                      <w:lang w:eastAsia="zh-CN"/>
                    </w:rPr>
                    <w:t>，</w:t>
                  </w:r>
                  <w:r>
                    <w:rPr>
                      <w:rFonts w:hint="eastAsia" w:cs="Times New Roman"/>
                      <w:color w:val="auto"/>
                      <w:highlight w:val="none"/>
                      <w:lang w:val="en-US" w:eastAsia="zh-CN"/>
                    </w:rPr>
                    <w:t>不属于</w:t>
                  </w:r>
                  <w:r>
                    <w:rPr>
                      <w:rFonts w:cs="Times New Roman"/>
                      <w:color w:val="auto"/>
                      <w:highlight w:val="none"/>
                    </w:rPr>
                    <w:t>《外商投资准入特别管理措施（负面清单）（2020年版）》、《市场准入负面清单（202</w:t>
                  </w:r>
                  <w:r>
                    <w:rPr>
                      <w:rFonts w:hint="eastAsia" w:cs="Times New Roman"/>
                      <w:color w:val="auto"/>
                      <w:highlight w:val="none"/>
                      <w:lang w:val="en-US" w:eastAsia="zh-CN"/>
                    </w:rPr>
                    <w:t>2</w:t>
                  </w:r>
                  <w:r>
                    <w:rPr>
                      <w:rFonts w:cs="Times New Roman"/>
                      <w:color w:val="auto"/>
                      <w:highlight w:val="none"/>
                    </w:rPr>
                    <w:t>年版）》中禁止或许可事项的项目</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eastAsia" w:eastAsia="宋体" w:cs="Times New Roman"/>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禁止引入不符合相关行业准入条件要求的建设项目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本项目无行业准入条件</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禁止引进高污染、高能耗、清洁生产水平不能达到国家清洁生产水平二级以上的建设项目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本项目不属于</w:t>
                  </w:r>
                  <w:r>
                    <w:rPr>
                      <w:rFonts w:cs="Times New Roman"/>
                      <w:color w:val="auto"/>
                      <w:highlight w:val="none"/>
                    </w:rPr>
                    <w:t>高污染、高能耗</w:t>
                  </w:r>
                  <w:r>
                    <w:rPr>
                      <w:rFonts w:hint="eastAsia" w:cs="Times New Roman"/>
                      <w:color w:val="auto"/>
                      <w:highlight w:val="none"/>
                      <w:lang w:val="en-US" w:eastAsia="zh-CN"/>
                    </w:rPr>
                    <w:t>的建设项目</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除应急供水外，禁止新建和扩建取用地下水的建设项目入驻</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本项目不新增用水，不取用地下水</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禁止入区企业新建燃煤锅炉</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w:t>
                  </w:r>
                  <w:r>
                    <w:rPr>
                      <w:rFonts w:cs="Times New Roman"/>
                      <w:color w:val="auto"/>
                      <w:highlight w:val="none"/>
                    </w:rPr>
                    <w:t>新建燃煤锅炉</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禁止不符合国家及地方环境污染防治和生态环境保护政策及要求的项目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本项目符合</w:t>
                  </w:r>
                  <w:r>
                    <w:rPr>
                      <w:rFonts w:cs="Times New Roman"/>
                      <w:color w:val="auto"/>
                      <w:highlight w:val="none"/>
                    </w:rPr>
                    <w:t>国家及地方环境污染防治和生态环境保护政策及要求</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禁止引进生产和使用高VOCs含量的溶剂型涂料、油墨、胶粘剂等项目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w:t>
                  </w:r>
                  <w:r>
                    <w:rPr>
                      <w:rFonts w:cs="Times New Roman"/>
                      <w:color w:val="auto"/>
                      <w:highlight w:val="none"/>
                    </w:rPr>
                    <w:t>生产和使用高VOCs含量的溶剂型涂料、油墨、胶粘剂</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禁止燃用原（散）煤、重油、渣油、石油焦等高污染燃料</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本项目不使用</w:t>
                  </w:r>
                  <w:r>
                    <w:rPr>
                      <w:rFonts w:cs="Times New Roman"/>
                      <w:color w:val="auto"/>
                      <w:highlight w:val="none"/>
                    </w:rPr>
                    <w:t>原（散）煤、重油、渣油、石油焦等高污染燃料</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禁止风险防控措施不能满足环境风险管理要求的相关建设项目引入</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eastAsia" w:eastAsia="宋体" w:cs="Times New Roman"/>
                      <w:color w:val="auto"/>
                      <w:highlight w:val="none"/>
                      <w:lang w:val="en-US" w:eastAsia="zh-CN"/>
                    </w:rPr>
                  </w:pPr>
                  <w:r>
                    <w:rPr>
                      <w:rFonts w:hint="eastAsia" w:cs="Times New Roman"/>
                      <w:color w:val="auto"/>
                      <w:highlight w:val="none"/>
                      <w:lang w:val="en-US" w:eastAsia="zh-CN"/>
                    </w:rPr>
                    <w:t>本项目</w:t>
                  </w:r>
                  <w:r>
                    <w:rPr>
                      <w:rFonts w:cs="Times New Roman"/>
                      <w:color w:val="auto"/>
                      <w:highlight w:val="none"/>
                    </w:rPr>
                    <w:t>风险防控措施</w:t>
                  </w:r>
                  <w:r>
                    <w:rPr>
                      <w:rFonts w:hint="eastAsia" w:cs="Times New Roman"/>
                      <w:color w:val="auto"/>
                      <w:highlight w:val="none"/>
                      <w:lang w:val="en-US" w:eastAsia="zh-CN"/>
                    </w:rPr>
                    <w:t>满足</w:t>
                  </w:r>
                  <w:r>
                    <w:rPr>
                      <w:rFonts w:cs="Times New Roman"/>
                      <w:color w:val="auto"/>
                      <w:highlight w:val="none"/>
                    </w:rPr>
                    <w:t>环境风险管理要求</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禁止引进产生致癌、致畸、致突变物质及列入《有毒有害大气污染物名录（2018年）》中污染物的项目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本项目不涉及</w:t>
                  </w:r>
                  <w:r>
                    <w:rPr>
                      <w:rFonts w:cs="Times New Roman"/>
                      <w:color w:val="auto"/>
                      <w:highlight w:val="none"/>
                    </w:rPr>
                    <w:t>产生致癌、致畸、致突变物质及列入《有毒有害大气污染物名录（2018年）》中污染物</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50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1610"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szCs w:val="21"/>
                      <w:highlight w:val="none"/>
                    </w:rPr>
                    <w:t>禁止引入河北省及唐山市</w:t>
                  </w:r>
                  <w:r>
                    <w:rPr>
                      <w:rFonts w:hint="eastAsia" w:ascii="宋体" w:hAnsi="宋体" w:eastAsia="宋体" w:cs="宋体"/>
                      <w:color w:val="auto"/>
                      <w:szCs w:val="21"/>
                      <w:highlight w:val="none"/>
                    </w:rPr>
                    <w:t>“三线一单”</w:t>
                  </w:r>
                  <w:r>
                    <w:rPr>
                      <w:rFonts w:cs="Times New Roman"/>
                      <w:color w:val="auto"/>
                      <w:szCs w:val="21"/>
                      <w:highlight w:val="none"/>
                    </w:rPr>
                    <w:t>禁止引入类项目</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本项目不属于</w:t>
                  </w:r>
                  <w:r>
                    <w:rPr>
                      <w:rFonts w:cs="Times New Roman"/>
                      <w:color w:val="auto"/>
                      <w:szCs w:val="21"/>
                      <w:highlight w:val="none"/>
                    </w:rPr>
                    <w:t>河北省及唐山市</w:t>
                  </w:r>
                  <w:r>
                    <w:rPr>
                      <w:rFonts w:hint="eastAsia" w:ascii="宋体" w:hAnsi="宋体" w:eastAsia="宋体" w:cs="宋体"/>
                      <w:color w:val="auto"/>
                      <w:szCs w:val="21"/>
                      <w:highlight w:val="none"/>
                    </w:rPr>
                    <w:t>“三线一单”</w:t>
                  </w:r>
                  <w:r>
                    <w:rPr>
                      <w:rFonts w:cs="Times New Roman"/>
                      <w:color w:val="auto"/>
                      <w:szCs w:val="21"/>
                      <w:highlight w:val="none"/>
                    </w:rPr>
                    <w:t>禁止引入类项目</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114" w:type="dxa"/>
                  <w:gridSpan w:val="2"/>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highlight w:val="none"/>
                    </w:rPr>
                    <w:t>限制类</w:t>
                  </w: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r>
                    <w:rPr>
                      <w:rFonts w:cs="Times New Roman"/>
                      <w:color w:val="auto"/>
                      <w:szCs w:val="21"/>
                      <w:highlight w:val="none"/>
                    </w:rPr>
                    <w:t>严格限制三类工业企业</w:t>
                  </w:r>
                  <w:r>
                    <w:rPr>
                      <w:rFonts w:hint="eastAsia" w:cs="Times New Roman"/>
                      <w:color w:val="auto"/>
                      <w:szCs w:val="21"/>
                      <w:highlight w:val="none"/>
                    </w:rPr>
                    <w:t>入驻</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本项目不属于三类工业企业</w:t>
                  </w:r>
                </w:p>
              </w:tc>
              <w:tc>
                <w:tcPr>
                  <w:tcW w:w="834" w:type="dxa"/>
                  <w:vMerge w:val="restart"/>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Cs w:val="21"/>
                      <w:highlight w:val="none"/>
                      <w:lang w:val="en-US" w:eastAsia="zh-CN"/>
                    </w:rPr>
                    <w:t>不属于开发区生态环境准入清单中限制类项目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114" w:type="dxa"/>
                  <w:gridSpan w:val="2"/>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highlight w:val="none"/>
                      <w:lang w:val="zh-CN"/>
                    </w:rPr>
                    <w:t>严格限制</w:t>
                  </w:r>
                  <w:r>
                    <w:rPr>
                      <w:rFonts w:hint="eastAsia" w:ascii="宋体" w:hAnsi="宋体" w:eastAsia="宋体" w:cs="宋体"/>
                      <w:color w:val="auto"/>
                      <w:highlight w:val="none"/>
                      <w:lang w:val="zh-CN"/>
                    </w:rPr>
                    <w:t>“高污染、高环境风险”产</w:t>
                  </w:r>
                  <w:r>
                    <w:rPr>
                      <w:rFonts w:cs="Times New Roman"/>
                      <w:color w:val="auto"/>
                      <w:highlight w:val="none"/>
                      <w:lang w:val="zh-CN"/>
                    </w:rPr>
                    <w:t>品与工艺设备</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本项目不涉及</w:t>
                  </w:r>
                  <w:r>
                    <w:rPr>
                      <w:rFonts w:hint="eastAsia" w:ascii="宋体" w:hAnsi="宋体" w:eastAsia="宋体" w:cs="宋体"/>
                      <w:color w:val="auto"/>
                      <w:highlight w:val="none"/>
                      <w:lang w:val="zh-CN"/>
                    </w:rPr>
                    <w:t>“高污染、高环境风险”产</w:t>
                  </w:r>
                  <w:r>
                    <w:rPr>
                      <w:rFonts w:cs="Times New Roman"/>
                      <w:color w:val="auto"/>
                      <w:highlight w:val="none"/>
                      <w:lang w:val="zh-CN"/>
                    </w:rPr>
                    <w:t>品与工艺设备</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2114" w:type="dxa"/>
                  <w:gridSpan w:val="2"/>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szCs w:val="21"/>
                      <w:highlight w:val="none"/>
                    </w:rPr>
                  </w:pPr>
                  <w:r>
                    <w:rPr>
                      <w:rFonts w:cs="Times New Roman"/>
                      <w:color w:val="auto"/>
                      <w:highlight w:val="none"/>
                    </w:rPr>
                    <w:t>严格</w:t>
                  </w:r>
                  <w:r>
                    <w:rPr>
                      <w:rFonts w:hint="eastAsia" w:cs="Times New Roman"/>
                      <w:color w:val="auto"/>
                      <w:highlight w:val="none"/>
                    </w:rPr>
                    <w:t>限</w:t>
                  </w:r>
                  <w:r>
                    <w:rPr>
                      <w:rFonts w:cs="Times New Roman"/>
                      <w:color w:val="auto"/>
                      <w:highlight w:val="none"/>
                    </w:rPr>
                    <w:t>制产生一类污染物（含汞、砷等重金属）的企业</w:t>
                  </w:r>
                  <w:r>
                    <w:rPr>
                      <w:rFonts w:hint="eastAsia" w:cs="Times New Roman"/>
                      <w:color w:val="auto"/>
                      <w:highlight w:val="none"/>
                    </w:rPr>
                    <w:t>入驻</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highlight w:val="none"/>
                      <w:lang w:val="en-US" w:eastAsia="zh-CN"/>
                    </w:rPr>
                  </w:pPr>
                  <w:r>
                    <w:rPr>
                      <w:rFonts w:hint="eastAsia" w:cs="Times New Roman"/>
                      <w:color w:val="auto"/>
                      <w:highlight w:val="none"/>
                      <w:lang w:val="en-US" w:eastAsia="zh-CN"/>
                    </w:rPr>
                    <w:t>本项目不产生</w:t>
                  </w:r>
                  <w:r>
                    <w:rPr>
                      <w:rFonts w:cs="Times New Roman"/>
                      <w:color w:val="auto"/>
                      <w:highlight w:val="none"/>
                    </w:rPr>
                    <w:t>一类污染物</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14" w:type="dxa"/>
                  <w:gridSpan w:val="2"/>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rPr>
                  </w:pPr>
                </w:p>
              </w:tc>
              <w:tc>
                <w:tcPr>
                  <w:tcW w:w="2549"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cs="Times New Roman"/>
                      <w:color w:val="auto"/>
                      <w:highlight w:val="none"/>
                      <w:lang w:val="zh-CN"/>
                    </w:rPr>
                  </w:pPr>
                  <w:r>
                    <w:rPr>
                      <w:rFonts w:hint="eastAsia" w:cs="Times New Roman"/>
                      <w:color w:val="auto"/>
                      <w:szCs w:val="21"/>
                      <w:highlight w:val="none"/>
                    </w:rPr>
                    <w:t>严格限制达不到本规划评价指标要求的企业入驻</w:t>
                  </w:r>
                </w:p>
              </w:tc>
              <w:tc>
                <w:tcPr>
                  <w:tcW w:w="1930" w:type="dxa"/>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本项目满足</w:t>
                  </w:r>
                  <w:r>
                    <w:rPr>
                      <w:rFonts w:hint="eastAsia" w:cs="Times New Roman"/>
                      <w:color w:val="auto"/>
                      <w:szCs w:val="21"/>
                      <w:highlight w:val="none"/>
                    </w:rPr>
                    <w:t>规划评价指标要求</w:t>
                  </w:r>
                </w:p>
              </w:tc>
              <w:tc>
                <w:tcPr>
                  <w:tcW w:w="834" w:type="dxa"/>
                  <w:vMerge w:val="continue"/>
                  <w:tcBorders>
                    <w:tl2br w:val="nil"/>
                    <w:tr2bl w:val="nil"/>
                  </w:tcBorders>
                  <w:shd w:val="clear" w:color="auto" w:fill="auto"/>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s="Times New Roman"/>
                      <w:color w:val="auto"/>
                      <w:szCs w:val="21"/>
                      <w:highlight w:val="none"/>
                    </w:rPr>
                  </w:pPr>
                </w:p>
              </w:tc>
            </w:tr>
          </w:tbl>
          <w:p>
            <w:pPr>
              <w:bidi w:val="0"/>
              <w:rPr>
                <w:rFonts w:hint="default"/>
                <w:color w:val="auto"/>
                <w:highlight w:val="none"/>
                <w:lang w:val="en-US" w:eastAsia="zh-CN"/>
              </w:rPr>
            </w:pPr>
            <w:r>
              <w:rPr>
                <w:rFonts w:hint="eastAsia"/>
                <w:color w:val="auto"/>
                <w:highlight w:val="none"/>
                <w:lang w:val="en-US" w:eastAsia="zh-CN"/>
              </w:rPr>
              <w:t>由上表可知，本项目符合</w:t>
            </w:r>
            <w:r>
              <w:rPr>
                <w:rFonts w:hint="default" w:ascii="Times New Roman" w:hAnsi="Times New Roman" w:eastAsia="宋体" w:cs="Times New Roman"/>
                <w:color w:val="auto"/>
                <w:kern w:val="0"/>
                <w:sz w:val="24"/>
                <w:szCs w:val="24"/>
                <w:highlight w:val="none"/>
                <w:lang w:eastAsia="zh-CN"/>
              </w:rPr>
              <w:t>开发区生态环境准入清单</w:t>
            </w:r>
            <w:r>
              <w:rPr>
                <w:rFonts w:hint="eastAsia" w:ascii="Times New Roman" w:hAnsi="Times New Roman" w:eastAsia="宋体" w:cs="Times New Roman"/>
                <w:color w:val="auto"/>
                <w:kern w:val="0"/>
                <w:sz w:val="24"/>
                <w:szCs w:val="24"/>
                <w:highlight w:val="none"/>
                <w:lang w:val="en-US" w:eastAsia="zh-CN"/>
              </w:rPr>
              <w:t>要求。</w:t>
            </w:r>
          </w:p>
          <w:p>
            <w:pPr>
              <w:bidi w:val="0"/>
              <w:rPr>
                <w:rFonts w:hint="eastAsia"/>
                <w:color w:val="auto"/>
                <w:highlight w:val="none"/>
                <w:lang w:val="zh-CN" w:eastAsia="zh-CN"/>
              </w:rPr>
            </w:pPr>
            <w:r>
              <w:rPr>
                <w:rFonts w:hint="default"/>
                <w:color w:val="auto"/>
                <w:highlight w:val="none"/>
                <w:lang w:val="zh-CN" w:eastAsia="zh-CN"/>
              </w:rPr>
              <w:t>综上所述，本项目的建设符合</w:t>
            </w:r>
            <w:r>
              <w:rPr>
                <w:rFonts w:hint="eastAsia"/>
                <w:color w:val="auto"/>
                <w:highlight w:val="none"/>
                <w:lang w:val="zh-CN" w:eastAsia="zh-CN"/>
              </w:rPr>
              <w:t>“</w:t>
            </w:r>
            <w:r>
              <w:rPr>
                <w:rFonts w:hint="default"/>
                <w:color w:val="auto"/>
                <w:highlight w:val="none"/>
                <w:lang w:val="zh-CN" w:eastAsia="zh-CN"/>
              </w:rPr>
              <w:t>三线一单</w:t>
            </w:r>
            <w:r>
              <w:rPr>
                <w:rFonts w:hint="eastAsia"/>
                <w:color w:val="auto"/>
                <w:highlight w:val="none"/>
                <w:lang w:val="zh-CN" w:eastAsia="zh-CN"/>
              </w:rPr>
              <w:t>”</w:t>
            </w:r>
            <w:r>
              <w:rPr>
                <w:rFonts w:hint="default"/>
                <w:color w:val="auto"/>
                <w:highlight w:val="none"/>
                <w:lang w:val="zh-CN" w:eastAsia="zh-CN"/>
              </w:rPr>
              <w:t>管控要求</w:t>
            </w:r>
            <w:r>
              <w:rPr>
                <w:rFonts w:hint="eastAsia"/>
                <w:color w:val="auto"/>
                <w:highlight w:val="none"/>
                <w:lang w:val="zh-CN"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b/>
                <w:bCs/>
                <w:color w:val="auto"/>
                <w:sz w:val="24"/>
                <w:szCs w:val="24"/>
                <w:highlight w:val="none"/>
                <w:lang w:val="en-US" w:eastAsia="zh-CN"/>
              </w:rPr>
              <w:t>4、与唐山市“</w:t>
            </w:r>
            <w:r>
              <w:rPr>
                <w:rFonts w:hint="default"/>
                <w:b/>
                <w:bCs/>
                <w:color w:val="auto"/>
                <w:sz w:val="24"/>
                <w:szCs w:val="24"/>
                <w:highlight w:val="none"/>
              </w:rPr>
              <w:t>三线一单</w:t>
            </w:r>
            <w:r>
              <w:rPr>
                <w:rFonts w:hint="eastAsia"/>
                <w:b/>
                <w:bCs/>
                <w:color w:val="auto"/>
                <w:sz w:val="24"/>
                <w:szCs w:val="24"/>
                <w:highlight w:val="none"/>
                <w:lang w:val="en-US" w:eastAsia="zh-CN"/>
              </w:rPr>
              <w:t>”</w:t>
            </w:r>
            <w:r>
              <w:rPr>
                <w:rFonts w:hint="default"/>
                <w:b/>
                <w:bCs/>
                <w:color w:val="auto"/>
                <w:sz w:val="24"/>
                <w:szCs w:val="24"/>
                <w:highlight w:val="none"/>
              </w:rPr>
              <w:t>相符性分析</w:t>
            </w:r>
          </w:p>
          <w:p>
            <w:pPr>
              <w:bidi w:val="0"/>
              <w:rPr>
                <w:rFonts w:hint="default"/>
                <w:color w:val="auto"/>
                <w:highlight w:val="none"/>
              </w:rPr>
            </w:pPr>
            <w:r>
              <w:rPr>
                <w:rFonts w:hint="eastAsia"/>
                <w:color w:val="auto"/>
                <w:highlight w:val="none"/>
                <w:lang w:val="en-US" w:eastAsia="zh-CN"/>
              </w:rPr>
              <w:t>根据《唐山市人民政府关于实施“三线一单”生态环境分区管控的意见》（唐政字[2021] 48号），本项目与其对比分析如下：</w:t>
            </w:r>
          </w:p>
          <w:p>
            <w:pPr>
              <w:bidi w:val="0"/>
              <w:rPr>
                <w:rFonts w:hint="default"/>
                <w:color w:val="auto"/>
                <w:highlight w:val="none"/>
              </w:rPr>
            </w:pPr>
            <w:r>
              <w:rPr>
                <w:rFonts w:hint="eastAsia"/>
                <w:color w:val="auto"/>
                <w:highlight w:val="none"/>
                <w:lang w:val="en-US" w:eastAsia="zh-CN"/>
              </w:rPr>
              <w:t>本项目</w:t>
            </w:r>
            <w:r>
              <w:rPr>
                <w:rFonts w:hint="default"/>
                <w:color w:val="auto"/>
                <w:highlight w:val="none"/>
              </w:rPr>
              <w:t>位于</w:t>
            </w:r>
            <w:r>
              <w:rPr>
                <w:rFonts w:hint="eastAsia"/>
                <w:color w:val="auto"/>
                <w:sz w:val="24"/>
                <w:szCs w:val="24"/>
                <w:highlight w:val="none"/>
                <w:lang w:val="en-US" w:eastAsia="zh-CN"/>
              </w:rPr>
              <w:t>唐山市高新区学院北路1718-1号，唐山烯彤科技有限公司院内</w:t>
            </w:r>
            <w:r>
              <w:rPr>
                <w:rFonts w:hint="eastAsia"/>
                <w:color w:val="auto"/>
                <w:highlight w:val="none"/>
                <w:lang w:eastAsia="zh-CN"/>
              </w:rPr>
              <w:t>，</w:t>
            </w:r>
            <w:r>
              <w:rPr>
                <w:rFonts w:hint="eastAsia"/>
                <w:color w:val="auto"/>
                <w:highlight w:val="none"/>
                <w:lang w:val="en-US" w:eastAsia="zh-CN"/>
              </w:rPr>
              <w:t>不在生态保护红线区、自然保护区、风景名胜区、森林公园、湿地公园、地质公园、水产种质资源保护区、自然文化遗产、湿地空间、饮用水地下水源保护区、一般生态空间范围内，为重点管控单元，项目与唐山市生态环境准入清单符合性分析见下表。</w:t>
            </w: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tc>
      </w:tr>
    </w:tbl>
    <w:p>
      <w:pPr>
        <w:rPr>
          <w:color w:val="auto"/>
          <w:highlight w:val="none"/>
        </w:rPr>
        <w:sectPr>
          <w:footerReference r:id="rId8"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5"/>
        <w:tblW w:w="141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3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textAlignment w:val="auto"/>
              <w:rPr>
                <w:rFonts w:hint="eastAsia"/>
                <w:b/>
                <w:bCs/>
                <w:color w:val="auto"/>
                <w:sz w:val="24"/>
                <w:szCs w:val="24"/>
                <w:highlight w:val="none"/>
                <w:vertAlign w:val="baseline"/>
                <w:lang w:val="en-US" w:eastAsia="zh-CN"/>
              </w:rPr>
            </w:pPr>
          </w:p>
        </w:tc>
        <w:tc>
          <w:tcPr>
            <w:tcW w:w="1319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与</w:t>
            </w:r>
            <w:r>
              <w:rPr>
                <w:rFonts w:hint="eastAsia" w:ascii="Times New Roman" w:hAnsi="Times New Roman" w:cs="Times New Roman"/>
                <w:b/>
                <w:bCs/>
                <w:color w:val="auto"/>
                <w:sz w:val="21"/>
                <w:szCs w:val="21"/>
                <w:highlight w:val="none"/>
                <w:lang w:val="en-US" w:eastAsia="zh-CN"/>
              </w:rPr>
              <w:t>陆域环境管控单元生态环境准入清单</w:t>
            </w:r>
            <w:r>
              <w:rPr>
                <w:rFonts w:hint="default" w:ascii="Times New Roman" w:hAnsi="Times New Roman" w:cs="Times New Roman"/>
                <w:b/>
                <w:bCs/>
                <w:color w:val="auto"/>
                <w:sz w:val="21"/>
                <w:szCs w:val="21"/>
                <w:highlight w:val="none"/>
              </w:rPr>
              <w:t>相符性分析</w:t>
            </w:r>
            <w:r>
              <w:rPr>
                <w:rFonts w:hint="eastAsia" w:cs="Times New Roman"/>
                <w:b/>
                <w:bCs/>
                <w:color w:val="auto"/>
                <w:sz w:val="21"/>
                <w:szCs w:val="21"/>
                <w:highlight w:val="none"/>
                <w:lang w:val="en-US" w:eastAsia="zh-CN"/>
              </w:rPr>
              <w:t>一览表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6"/>
              <w:gridCol w:w="600"/>
              <w:gridCol w:w="826"/>
              <w:gridCol w:w="705"/>
              <w:gridCol w:w="960"/>
              <w:gridCol w:w="705"/>
              <w:gridCol w:w="5790"/>
              <w:gridCol w:w="2013"/>
              <w:gridCol w:w="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编号</w:t>
                  </w:r>
                </w:p>
              </w:tc>
              <w:tc>
                <w:tcPr>
                  <w:tcW w:w="6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区县</w:t>
                  </w:r>
                </w:p>
              </w:tc>
              <w:tc>
                <w:tcPr>
                  <w:tcW w:w="8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乡镇</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单元类别</w:t>
                  </w: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环境要素类别</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维度</w:t>
                  </w:r>
                </w:p>
              </w:tc>
              <w:tc>
                <w:tcPr>
                  <w:tcW w:w="57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管控措施</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项目情况</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5" w:hRule="atLeast"/>
                <w:jc w:val="center"/>
              </w:trPr>
              <w:tc>
                <w:tcPr>
                  <w:tcW w:w="65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ZH1302</w:t>
                  </w:r>
                  <w:r>
                    <w:rPr>
                      <w:rFonts w:hint="eastAsia" w:cs="Times New Roman"/>
                      <w:color w:val="auto"/>
                      <w:spacing w:val="0"/>
                      <w:kern w:val="0"/>
                      <w:sz w:val="21"/>
                      <w:szCs w:val="21"/>
                      <w:highlight w:val="none"/>
                      <w:lang w:val="en-US" w:eastAsia="zh-CN"/>
                    </w:rPr>
                    <w:t>7320001</w:t>
                  </w:r>
                </w:p>
              </w:tc>
              <w:tc>
                <w:tcPr>
                  <w:tcW w:w="6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高新技术产业开发区</w:t>
                  </w:r>
                </w:p>
              </w:tc>
              <w:tc>
                <w:tcPr>
                  <w:tcW w:w="8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高新区街道、庆北街道</w:t>
                  </w:r>
                </w:p>
              </w:tc>
              <w:tc>
                <w:tcPr>
                  <w:tcW w:w="70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重点管控单元</w:t>
                  </w:r>
                </w:p>
              </w:tc>
              <w:tc>
                <w:tcPr>
                  <w:tcW w:w="960" w:type="dxa"/>
                  <w:vMerge w:val="restart"/>
                  <w:tcBorders>
                    <w:tl2br w:val="nil"/>
                    <w:tr2bl w:val="nil"/>
                  </w:tcBorders>
                  <w:noWrap w:val="0"/>
                  <w:vAlign w:val="center"/>
                </w:tcPr>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大气受体敏感、高排放重点管控区</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水环境工业污染重点管控区</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地下水风险防控重点管控区</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cs="Times New Roman"/>
                      <w:color w:val="auto"/>
                      <w:spacing w:val="0"/>
                      <w:kern w:val="0"/>
                      <w:sz w:val="21"/>
                      <w:szCs w:val="21"/>
                      <w:highlight w:val="none"/>
                      <w:lang w:val="en-US" w:eastAsia="zh-CN"/>
                    </w:rPr>
                  </w:pPr>
                  <w:r>
                    <w:rPr>
                      <w:rFonts w:hint="eastAsia" w:cs="Times New Roman"/>
                      <w:color w:val="auto"/>
                      <w:spacing w:val="0"/>
                      <w:kern w:val="0"/>
                      <w:sz w:val="21"/>
                      <w:szCs w:val="21"/>
                      <w:highlight w:val="none"/>
                      <w:lang w:val="en-US" w:eastAsia="zh-CN"/>
                    </w:rPr>
                    <w:t>高新技术产业开发区中心区、唐山市规划城区</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空间布局约束</w:t>
                  </w:r>
                </w:p>
              </w:tc>
              <w:tc>
                <w:tcPr>
                  <w:tcW w:w="5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val="zh-CN"/>
                    </w:rPr>
                    <w:t>开发区内北郊饮用水水源地二级保护区执行全市生态环境空间总体管控要求的各类保护地中饮用水水源地的管控要求</w:t>
                  </w:r>
                  <w:r>
                    <w:rPr>
                      <w:rFonts w:hint="default" w:ascii="Times New Roman" w:hAnsi="Times New Roman" w:eastAsia="宋体" w:cs="Times New Roman"/>
                      <w:color w:val="auto"/>
                      <w:spacing w:val="0"/>
                      <w:kern w:val="0"/>
                      <w:sz w:val="21"/>
                      <w:szCs w:val="21"/>
                      <w:highlight w:val="none"/>
                    </w:rPr>
                    <w:t>。</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val="zh-CN"/>
                    </w:rPr>
                    <w:t>市核心区禁止布局废品收购站，经营性印刷、铁艺加工等涉VOCs排放行业企业，涉喷漆工序汽修行业二类以下企业</w:t>
                  </w:r>
                  <w:r>
                    <w:rPr>
                      <w:rFonts w:hint="eastAsia" w:ascii="Times New Roman" w:hAnsi="Times New Roman" w:eastAsia="宋体" w:cs="Times New Roman"/>
                      <w:color w:val="auto"/>
                      <w:spacing w:val="0"/>
                      <w:kern w:val="0"/>
                      <w:sz w:val="21"/>
                      <w:szCs w:val="21"/>
                      <w:highlight w:val="none"/>
                      <w:lang w:val="zh-CN"/>
                    </w:rPr>
                    <w:t>；</w:t>
                  </w:r>
                  <w:r>
                    <w:rPr>
                      <w:rFonts w:hint="default" w:ascii="Times New Roman" w:hAnsi="Times New Roman" w:eastAsia="宋体" w:cs="Times New Roman"/>
                      <w:color w:val="auto"/>
                      <w:spacing w:val="0"/>
                      <w:kern w:val="0"/>
                      <w:sz w:val="21"/>
                      <w:szCs w:val="21"/>
                      <w:highlight w:val="none"/>
                      <w:lang w:val="zh-CN"/>
                    </w:rPr>
                    <w:t>环线以内禁止布局搅拌站、沥青拌合站</w:t>
                  </w:r>
                  <w:r>
                    <w:rPr>
                      <w:rFonts w:hint="default" w:ascii="Times New Roman" w:hAnsi="Times New Roman" w:eastAsia="宋体" w:cs="Times New Roman"/>
                      <w:color w:val="auto"/>
                      <w:spacing w:val="0"/>
                      <w:kern w:val="0"/>
                      <w:sz w:val="21"/>
                      <w:szCs w:val="21"/>
                      <w:highlight w:val="none"/>
                    </w:rPr>
                    <w:t>。</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eastAsia"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3、二环线内，禁止新建铸造、轧钢、石灰窑、砖瓦窑、家具制造（涉VOCs）、化工行业企业，严禁国IV及以下排放标准柴油货车驶入。</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eastAsia="宋体" w:cs="Times New Roman"/>
                      <w:color w:val="auto"/>
                      <w:spacing w:val="0"/>
                      <w:kern w:val="0"/>
                      <w:sz w:val="21"/>
                      <w:szCs w:val="21"/>
                      <w:highlight w:val="none"/>
                      <w:lang w:val="en-US" w:eastAsia="zh-CN"/>
                    </w:rPr>
                    <w:t>本项目不在</w:t>
                  </w:r>
                  <w:r>
                    <w:rPr>
                      <w:rFonts w:hint="default" w:ascii="Times New Roman" w:hAnsi="Times New Roman" w:eastAsia="宋体" w:cs="Times New Roman"/>
                      <w:color w:val="auto"/>
                      <w:spacing w:val="0"/>
                      <w:kern w:val="0"/>
                      <w:sz w:val="21"/>
                      <w:szCs w:val="21"/>
                      <w:highlight w:val="none"/>
                      <w:lang w:val="zh-CN"/>
                    </w:rPr>
                    <w:t>北郊饮用水水源地二级保护区</w:t>
                  </w:r>
                  <w:r>
                    <w:rPr>
                      <w:rFonts w:hint="eastAsia" w:ascii="Times New Roman" w:hAnsi="Times New Roman" w:eastAsia="宋体" w:cs="Times New Roman"/>
                      <w:color w:val="auto"/>
                      <w:spacing w:val="0"/>
                      <w:kern w:val="0"/>
                      <w:sz w:val="21"/>
                      <w:szCs w:val="21"/>
                      <w:highlight w:val="none"/>
                      <w:lang w:val="zh-CN"/>
                    </w:rPr>
                    <w:t>，</w:t>
                  </w:r>
                  <w:r>
                    <w:rPr>
                      <w:rFonts w:hint="eastAsia" w:ascii="Times New Roman" w:hAnsi="Times New Roman" w:eastAsia="宋体" w:cs="Times New Roman"/>
                      <w:color w:val="auto"/>
                      <w:spacing w:val="0"/>
                      <w:kern w:val="0"/>
                      <w:sz w:val="21"/>
                      <w:szCs w:val="21"/>
                      <w:highlight w:val="none"/>
                      <w:lang w:val="en-US" w:eastAsia="zh-CN"/>
                    </w:rPr>
                    <w:t>为</w:t>
                  </w:r>
                  <w:r>
                    <w:rPr>
                      <w:rFonts w:hint="eastAsia" w:cs="Times New Roman"/>
                      <w:color w:val="auto"/>
                      <w:spacing w:val="0"/>
                      <w:kern w:val="0"/>
                      <w:sz w:val="21"/>
                      <w:szCs w:val="21"/>
                      <w:highlight w:val="none"/>
                      <w:lang w:val="en-US" w:eastAsia="zh-CN"/>
                    </w:rPr>
                    <w:t>其他家用电力器具制造</w:t>
                  </w:r>
                  <w:r>
                    <w:rPr>
                      <w:rFonts w:hint="eastAsia" w:ascii="Times New Roman" w:hAnsi="Times New Roman" w:eastAsia="宋体" w:cs="Times New Roman"/>
                      <w:color w:val="auto"/>
                      <w:spacing w:val="0"/>
                      <w:kern w:val="0"/>
                      <w:sz w:val="21"/>
                      <w:szCs w:val="21"/>
                      <w:highlight w:val="none"/>
                      <w:lang w:val="en-US" w:eastAsia="zh-CN"/>
                    </w:rPr>
                    <w:t>，本项目建成后对进出厂区车辆进行要求，严禁国V及以下排放标准柴油货车驶入</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9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污染物排放管控</w:t>
                  </w:r>
                </w:p>
              </w:tc>
              <w:tc>
                <w:tcPr>
                  <w:tcW w:w="5790"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lang w:val="zh-CN"/>
                    </w:rPr>
                    <w:t>对环线内汽修企业的喷漆工序加强源头控制，禁止使用等离子、活性炭吸附、光催化氧化等单级治理技术处理VOCs废气，必须使用双级或多级质量技术处理措施</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rPr>
                    <w:t>本项目不属于汽修企业</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85"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9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环境风险防控</w:t>
                  </w:r>
                </w:p>
              </w:tc>
              <w:tc>
                <w:tcPr>
                  <w:tcW w:w="5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val="zh-CN"/>
                    </w:rPr>
                    <w:t>开发区及入区企业需组织编制《环境风险应急预案》，成立应急组织机构，定期开展应急演练，提高区域环境风险防范能力。</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val="zh-CN"/>
                    </w:rPr>
                    <w:t>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r>
                    <w:rPr>
                      <w:rFonts w:hint="default" w:ascii="Times New Roman" w:hAnsi="Times New Roman" w:eastAsia="宋体" w:cs="Times New Roman"/>
                      <w:color w:val="auto"/>
                      <w:spacing w:val="0"/>
                      <w:kern w:val="0"/>
                      <w:sz w:val="21"/>
                      <w:szCs w:val="21"/>
                      <w:highlight w:val="none"/>
                    </w:rPr>
                    <w:t>。</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pacing w:val="0"/>
                      <w:kern w:val="0"/>
                      <w:sz w:val="21"/>
                      <w:szCs w:val="21"/>
                      <w:highlight w:val="none"/>
                      <w:lang w:val="en-US" w:eastAsia="zh-CN"/>
                    </w:rPr>
                    <w:t>本项目</w:t>
                  </w:r>
                  <w:r>
                    <w:rPr>
                      <w:rFonts w:hint="eastAsia" w:cs="Times New Roman"/>
                      <w:color w:val="auto"/>
                      <w:spacing w:val="0"/>
                      <w:kern w:val="0"/>
                      <w:sz w:val="21"/>
                      <w:szCs w:val="21"/>
                      <w:highlight w:val="none"/>
                      <w:lang w:val="en-US" w:eastAsia="zh-CN"/>
                    </w:rPr>
                    <w:t>完成后对</w:t>
                  </w:r>
                  <w:r>
                    <w:rPr>
                      <w:rFonts w:hint="default" w:ascii="Times New Roman" w:hAnsi="Times New Roman" w:eastAsia="宋体" w:cs="Times New Roman"/>
                      <w:color w:val="auto"/>
                      <w:spacing w:val="0"/>
                      <w:kern w:val="0"/>
                      <w:sz w:val="21"/>
                      <w:szCs w:val="21"/>
                      <w:highlight w:val="none"/>
                      <w:lang w:eastAsia="zh-CN"/>
                    </w:rPr>
                    <w:t>风险应急预案</w:t>
                  </w:r>
                  <w:r>
                    <w:rPr>
                      <w:rFonts w:hint="eastAsia" w:cs="Times New Roman"/>
                      <w:color w:val="auto"/>
                      <w:spacing w:val="0"/>
                      <w:kern w:val="0"/>
                      <w:sz w:val="21"/>
                      <w:szCs w:val="21"/>
                      <w:highlight w:val="none"/>
                      <w:lang w:val="en-US" w:eastAsia="zh-CN"/>
                    </w:rPr>
                    <w:t>进行修编</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并</w:t>
                  </w:r>
                  <w:r>
                    <w:rPr>
                      <w:rFonts w:hint="default" w:ascii="Times New Roman" w:hAnsi="Times New Roman" w:eastAsia="宋体" w:cs="Times New Roman"/>
                      <w:color w:val="auto"/>
                      <w:spacing w:val="0"/>
                      <w:kern w:val="0"/>
                      <w:sz w:val="21"/>
                      <w:szCs w:val="21"/>
                      <w:highlight w:val="none"/>
                    </w:rPr>
                    <w:t>建立有效的事故风险防范体系</w:t>
                  </w:r>
                  <w:r>
                    <w:rPr>
                      <w:rFonts w:hint="eastAsia" w:ascii="Times New Roman" w:hAnsi="Times New Roman" w:eastAsia="宋体" w:cs="Times New Roman"/>
                      <w:color w:val="auto"/>
                      <w:spacing w:val="0"/>
                      <w:kern w:val="0"/>
                      <w:sz w:val="21"/>
                      <w:szCs w:val="21"/>
                      <w:highlight w:val="none"/>
                      <w:lang w:eastAsia="zh-CN"/>
                    </w:rPr>
                    <w:t>，</w:t>
                  </w:r>
                  <w:r>
                    <w:rPr>
                      <w:rFonts w:hint="eastAsia" w:ascii="Times New Roman" w:hAnsi="Times New Roman" w:eastAsia="宋体" w:cs="Times New Roman"/>
                      <w:color w:val="auto"/>
                      <w:spacing w:val="0"/>
                      <w:kern w:val="0"/>
                      <w:sz w:val="21"/>
                      <w:szCs w:val="21"/>
                      <w:highlight w:val="none"/>
                      <w:lang w:val="en-US" w:eastAsia="zh-CN"/>
                    </w:rPr>
                    <w:t>本项目不属于土壤污染重点监管单位，在现有生产车间内建设，不涉及</w:t>
                  </w:r>
                  <w:r>
                    <w:rPr>
                      <w:rFonts w:hint="default" w:ascii="Times New Roman" w:hAnsi="Times New Roman" w:eastAsia="宋体" w:cs="Times New Roman"/>
                      <w:color w:val="auto"/>
                      <w:spacing w:val="0"/>
                      <w:kern w:val="0"/>
                      <w:sz w:val="21"/>
                      <w:szCs w:val="21"/>
                      <w:highlight w:val="none"/>
                      <w:lang w:val="zh-CN"/>
                    </w:rPr>
                    <w:t>拆除设施、设备或者建筑物、构筑物</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70" w:hRule="atLeast"/>
                <w:jc w:val="center"/>
              </w:trPr>
              <w:tc>
                <w:tcPr>
                  <w:tcW w:w="65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8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eastAsia" w:ascii="Times New Roman" w:hAnsi="Times New Roman" w:eastAsia="宋体" w:cs="Times New Roman"/>
                      <w:color w:val="auto"/>
                      <w:spacing w:val="0"/>
                      <w:kern w:val="0"/>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spacing w:val="0"/>
                      <w:kern w:val="0"/>
                      <w:sz w:val="21"/>
                      <w:szCs w:val="21"/>
                      <w:highlight w:val="none"/>
                      <w:lang w:val="en-US" w:eastAsia="zh-CN"/>
                    </w:rPr>
                  </w:pPr>
                </w:p>
              </w:tc>
              <w:tc>
                <w:tcPr>
                  <w:tcW w:w="96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p>
              </w:tc>
              <w:tc>
                <w:tcPr>
                  <w:tcW w:w="7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资源利用效率要求</w:t>
                  </w:r>
                </w:p>
              </w:tc>
              <w:tc>
                <w:tcPr>
                  <w:tcW w:w="57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1、</w:t>
                  </w:r>
                  <w:r>
                    <w:rPr>
                      <w:rFonts w:hint="default" w:ascii="Times New Roman" w:hAnsi="Times New Roman" w:eastAsia="宋体" w:cs="Times New Roman"/>
                      <w:color w:val="auto"/>
                      <w:spacing w:val="0"/>
                      <w:kern w:val="0"/>
                      <w:sz w:val="21"/>
                      <w:szCs w:val="21"/>
                      <w:highlight w:val="none"/>
                      <w:lang w:val="zh-CN"/>
                    </w:rPr>
                    <w:t>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r>
                    <w:rPr>
                      <w:rFonts w:hint="default" w:ascii="Times New Roman" w:hAnsi="Times New Roman" w:eastAsia="宋体" w:cs="Times New Roman"/>
                      <w:color w:val="auto"/>
                      <w:spacing w:val="0"/>
                      <w:kern w:val="0"/>
                      <w:sz w:val="21"/>
                      <w:szCs w:val="21"/>
                      <w:highlight w:val="none"/>
                    </w:rPr>
                    <w:t>。</w:t>
                  </w:r>
                </w:p>
                <w:p>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eastAsia="宋体" w:cs="Times New Roman"/>
                      <w:color w:val="auto"/>
                      <w:spacing w:val="0"/>
                      <w:kern w:val="0"/>
                      <w:sz w:val="21"/>
                      <w:szCs w:val="21"/>
                      <w:highlight w:val="none"/>
                    </w:rPr>
                    <w:t>2、</w:t>
                  </w:r>
                  <w:r>
                    <w:rPr>
                      <w:rFonts w:hint="default" w:ascii="Times New Roman" w:hAnsi="Times New Roman" w:eastAsia="宋体" w:cs="Times New Roman"/>
                      <w:color w:val="auto"/>
                      <w:spacing w:val="0"/>
                      <w:kern w:val="0"/>
                      <w:sz w:val="21"/>
                      <w:szCs w:val="21"/>
                      <w:highlight w:val="none"/>
                      <w:lang w:val="zh-CN"/>
                    </w:rPr>
                    <w:t>推进海绵城市建设，加快城镇供水管网改造，推广节水器具，提高水资源重复利用率，加强再生水的回用</w:t>
                  </w:r>
                  <w:r>
                    <w:rPr>
                      <w:rFonts w:hint="default" w:ascii="Times New Roman" w:hAnsi="Times New Roman" w:eastAsia="宋体" w:cs="Times New Roman"/>
                      <w:color w:val="auto"/>
                      <w:spacing w:val="0"/>
                      <w:kern w:val="0"/>
                      <w:sz w:val="21"/>
                      <w:szCs w:val="21"/>
                      <w:highlight w:val="none"/>
                    </w:rPr>
                    <w:t>。</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4"/>
                      <w:sz w:val="21"/>
                      <w:szCs w:val="21"/>
                      <w:highlight w:val="none"/>
                      <w:lang w:val="en-US" w:eastAsia="zh-CN"/>
                    </w:rPr>
                    <w:t>本项目</w:t>
                  </w:r>
                  <w:r>
                    <w:rPr>
                      <w:rFonts w:hint="eastAsia" w:cs="Times New Roman"/>
                      <w:color w:val="auto"/>
                      <w:kern w:val="24"/>
                      <w:sz w:val="21"/>
                      <w:szCs w:val="21"/>
                      <w:highlight w:val="none"/>
                      <w:lang w:val="en-US" w:eastAsia="zh-CN"/>
                    </w:rPr>
                    <w:t>不新增用水</w:t>
                  </w:r>
                  <w:r>
                    <w:rPr>
                      <w:rFonts w:hint="eastAsia" w:ascii="Times New Roman" w:hAnsi="Times New Roman" w:eastAsia="宋体" w:cs="Times New Roman"/>
                      <w:color w:val="auto"/>
                      <w:kern w:val="24"/>
                      <w:sz w:val="21"/>
                      <w:szCs w:val="21"/>
                      <w:highlight w:val="none"/>
                      <w:lang w:val="en-US" w:eastAsia="zh-CN"/>
                    </w:rPr>
                    <w:t>，不涉及取用地下水</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eastAsia="zh-CN"/>
                    </w:rPr>
                  </w:pPr>
                  <w:r>
                    <w:rPr>
                      <w:rFonts w:hint="default" w:ascii="Times New Roman" w:hAnsi="Times New Roman" w:eastAsia="宋体" w:cs="Times New Roman"/>
                      <w:color w:val="auto"/>
                      <w:spacing w:val="0"/>
                      <w:kern w:val="0"/>
                      <w:sz w:val="21"/>
                      <w:szCs w:val="21"/>
                      <w:highlight w:val="none"/>
                      <w:lang w:eastAsia="zh-CN"/>
                    </w:rPr>
                    <w:t>符合</w:t>
                  </w:r>
                </w:p>
              </w:tc>
            </w:tr>
          </w:tbl>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highlight w:val="none"/>
          <w:lang w:val="zh-CN"/>
        </w:rPr>
        <w:sectPr>
          <w:footerReference r:id="rId9" w:type="default"/>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3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77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58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vertAlign w:val="baseline"/>
                <w:lang w:val="zh-CN"/>
              </w:rPr>
            </w:pPr>
          </w:p>
        </w:tc>
        <w:tc>
          <w:tcPr>
            <w:tcW w:w="776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5、</w:t>
            </w:r>
            <w:r>
              <w:rPr>
                <w:rFonts w:hint="eastAsia"/>
                <w:b/>
                <w:bCs/>
                <w:color w:val="auto"/>
                <w:sz w:val="24"/>
                <w:szCs w:val="24"/>
                <w:highlight w:val="none"/>
              </w:rPr>
              <w:t>与</w:t>
            </w:r>
            <w:r>
              <w:rPr>
                <w:rFonts w:hint="eastAsia"/>
                <w:b/>
                <w:bCs/>
                <w:color w:val="auto"/>
                <w:sz w:val="24"/>
                <w:szCs w:val="24"/>
                <w:highlight w:val="none"/>
                <w:lang w:val="en-US" w:eastAsia="zh-CN"/>
              </w:rPr>
              <w:t>绩效评级相关要求符合性分析</w:t>
            </w:r>
          </w:p>
          <w:p>
            <w:pPr>
              <w:bidi w:val="0"/>
              <w:rPr>
                <w:rFonts w:hint="eastAsia"/>
                <w:color w:val="auto"/>
                <w:highlight w:val="none"/>
                <w:lang w:val="en-US" w:eastAsia="zh-CN"/>
              </w:rPr>
            </w:pPr>
            <w:r>
              <w:rPr>
                <w:rFonts w:hint="eastAsia"/>
                <w:color w:val="auto"/>
                <w:lang w:val="en-US" w:eastAsia="zh-CN"/>
              </w:rPr>
              <w:t>本项目为</w:t>
            </w:r>
            <w:r>
              <w:rPr>
                <w:rFonts w:hint="eastAsia"/>
                <w:color w:val="auto"/>
                <w:highlight w:val="none"/>
                <w:lang w:val="en-US" w:eastAsia="zh-CN"/>
              </w:rPr>
              <w:t>C3859其他家用电力器具制造，对照《重污染天气重点行业应急减排措施制定技术指南（2021年修订版）》、《关于印发&lt;重污染天气重点行业绩效分级及减排措施&gt;补充说明的通知》、《河北省十一个行业重污染天气应急减排措施制定技术指南》，该行业无需进行绩效评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default"/>
                <w:b/>
                <w:bCs/>
                <w:color w:val="auto"/>
                <w:sz w:val="24"/>
                <w:szCs w:val="24"/>
                <w:highlight w:val="none"/>
                <w:lang w:val="en-US"/>
              </w:rPr>
            </w:pPr>
            <w:r>
              <w:rPr>
                <w:rFonts w:hint="eastAsia"/>
                <w:b/>
                <w:bCs/>
                <w:color w:val="auto"/>
                <w:sz w:val="24"/>
                <w:szCs w:val="24"/>
                <w:highlight w:val="none"/>
                <w:lang w:val="en-US" w:eastAsia="zh-CN"/>
              </w:rPr>
              <w:t>6、</w:t>
            </w:r>
            <w:r>
              <w:rPr>
                <w:rFonts w:hint="eastAsia"/>
                <w:b/>
                <w:bCs/>
                <w:color w:val="auto"/>
                <w:sz w:val="24"/>
                <w:szCs w:val="24"/>
                <w:highlight w:val="none"/>
              </w:rPr>
              <w:t>与</w:t>
            </w:r>
            <w:r>
              <w:rPr>
                <w:rFonts w:hint="default" w:ascii="Times New Roman" w:hAnsi="Times New Roman" w:eastAsia="宋体" w:cs="Times New Roman"/>
                <w:b/>
                <w:bCs/>
                <w:color w:val="auto"/>
                <w:lang w:val="en-US" w:eastAsia="zh-CN"/>
              </w:rPr>
              <w:t>环境保护综合名录（2021年版）</w:t>
            </w:r>
            <w:r>
              <w:rPr>
                <w:rFonts w:hint="eastAsia"/>
                <w:b/>
                <w:bCs/>
                <w:color w:val="auto"/>
                <w:sz w:val="24"/>
                <w:szCs w:val="24"/>
                <w:highlight w:val="none"/>
                <w:lang w:val="en-US" w:eastAsia="zh-CN"/>
              </w:rPr>
              <w:t>符合性分析</w:t>
            </w:r>
          </w:p>
          <w:p>
            <w:pPr>
              <w:rPr>
                <w:rFonts w:hint="eastAsia" w:ascii="黑体" w:hAnsi="黑体" w:eastAsia="黑体"/>
                <w:snapToGrid w:val="0"/>
                <w:color w:val="auto"/>
                <w:sz w:val="30"/>
                <w:szCs w:val="30"/>
                <w:vertAlign w:val="baseline"/>
              </w:rPr>
            </w:pPr>
            <w:r>
              <w:rPr>
                <w:rFonts w:hint="default" w:ascii="Times New Roman" w:hAnsi="Times New Roman" w:eastAsia="宋体" w:cs="Times New Roman"/>
                <w:color w:val="auto"/>
                <w:lang w:val="en-US" w:eastAsia="zh-CN"/>
              </w:rPr>
              <w:t>本项目产品不在《环境保护综合名录（2021年版）》（环办综合函</w:t>
            </w:r>
            <w:r>
              <w:rPr>
                <w:rFonts w:hint="eastAsia" w:cs="Times New Roman"/>
                <w:color w:val="auto"/>
                <w:lang w:val="en-US" w:eastAsia="zh-CN"/>
              </w:rPr>
              <w:t>[</w:t>
            </w:r>
            <w:r>
              <w:rPr>
                <w:rFonts w:hint="default" w:ascii="Times New Roman" w:hAnsi="Times New Roman" w:eastAsia="宋体" w:cs="Times New Roman"/>
                <w:color w:val="auto"/>
                <w:lang w:val="en-US" w:eastAsia="zh-CN"/>
              </w:rPr>
              <w:t>2021</w:t>
            </w:r>
            <w:r>
              <w:rPr>
                <w:rFonts w:hint="eastAsia" w:cs="Times New Roman"/>
                <w:color w:val="auto"/>
                <w:lang w:val="en-US" w:eastAsia="zh-CN"/>
              </w:rPr>
              <w:t>]</w:t>
            </w:r>
            <w:r>
              <w:rPr>
                <w:rFonts w:hint="default" w:ascii="Times New Roman" w:hAnsi="Times New Roman" w:eastAsia="宋体" w:cs="Times New Roman"/>
                <w:color w:val="auto"/>
                <w:lang w:val="en-US" w:eastAsia="zh-CN"/>
              </w:rPr>
              <w:t>495号）中</w:t>
            </w:r>
            <w:r>
              <w:rPr>
                <w:rFonts w:hint="eastAsia" w:ascii="宋体" w:hAnsi="宋体" w:eastAsia="宋体" w:cs="宋体"/>
                <w:color w:val="auto"/>
                <w:lang w:val="en-US" w:eastAsia="zh-CN"/>
              </w:rPr>
              <w:t>“高污染”、“高环境风险”、“高污染、高环境风险”</w:t>
            </w:r>
            <w:r>
              <w:rPr>
                <w:rFonts w:hint="default" w:ascii="Times New Roman" w:hAnsi="Times New Roman" w:eastAsia="宋体" w:cs="Times New Roman"/>
                <w:color w:val="auto"/>
                <w:lang w:val="en-US" w:eastAsia="zh-CN"/>
              </w:rPr>
              <w:t>产品名录之列</w:t>
            </w:r>
            <w:r>
              <w:rPr>
                <w:rFonts w:hint="eastAsia" w:ascii="Times New Roman" w:hAnsi="Times New Roman" w:eastAsia="宋体" w:cs="Times New Roman"/>
                <w:color w:val="auto"/>
                <w:lang w:val="en-US" w:eastAsia="zh-CN"/>
              </w:rPr>
              <w:t>。</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480" w:lineRule="exact"/>
              <w:ind w:right="0" w:firstLine="0" w:firstLineChars="0"/>
              <w:jc w:val="left"/>
              <w:textAlignment w:val="auto"/>
              <w:rPr>
                <w:rFonts w:hint="eastAsia"/>
                <w:b/>
                <w:bCs/>
                <w:color w:val="auto"/>
                <w:sz w:val="24"/>
                <w:szCs w:val="24"/>
                <w:highlight w:val="none"/>
                <w:lang w:val="en-US" w:eastAsia="zh-CN"/>
              </w:rPr>
            </w:pPr>
            <w:r>
              <w:rPr>
                <w:rFonts w:hint="eastAsia"/>
                <w:b/>
                <w:bCs/>
                <w:color w:val="auto"/>
                <w:sz w:val="24"/>
                <w:szCs w:val="24"/>
                <w:highlight w:val="none"/>
              </w:rPr>
              <w:t>与</w:t>
            </w:r>
            <w:r>
              <w:rPr>
                <w:rFonts w:hint="default"/>
                <w:b/>
                <w:bCs/>
                <w:color w:val="auto"/>
                <w:sz w:val="24"/>
                <w:szCs w:val="24"/>
                <w:highlight w:val="none"/>
              </w:rPr>
              <w:t>VOC</w:t>
            </w:r>
            <w:r>
              <w:rPr>
                <w:rFonts w:hint="eastAsia"/>
                <w:b/>
                <w:bCs/>
                <w:color w:val="auto"/>
                <w:sz w:val="24"/>
                <w:szCs w:val="24"/>
                <w:highlight w:val="none"/>
                <w:lang w:val="en-US" w:eastAsia="zh-CN"/>
              </w:rPr>
              <w:t>s</w:t>
            </w:r>
            <w:r>
              <w:rPr>
                <w:rFonts w:hint="eastAsia"/>
                <w:b/>
                <w:bCs/>
                <w:color w:val="auto"/>
                <w:sz w:val="24"/>
                <w:szCs w:val="24"/>
                <w:highlight w:val="none"/>
              </w:rPr>
              <w:t>政策的符合性</w:t>
            </w:r>
            <w:r>
              <w:rPr>
                <w:rFonts w:hint="eastAsia"/>
                <w:b/>
                <w:bCs/>
                <w:color w:val="auto"/>
                <w:sz w:val="24"/>
                <w:szCs w:val="24"/>
                <w:highlight w:val="none"/>
                <w:lang w:val="en-US" w:eastAsia="zh-CN"/>
              </w:rPr>
              <w:t>分析</w:t>
            </w:r>
          </w:p>
          <w:p>
            <w:pPr>
              <w:bidi w:val="0"/>
              <w:rPr>
                <w:rFonts w:hint="eastAsia"/>
                <w:color w:val="auto"/>
                <w:highlight w:val="none"/>
                <w:lang w:val="en-US" w:eastAsia="zh-CN"/>
              </w:rPr>
            </w:pPr>
            <w:r>
              <w:rPr>
                <w:rFonts w:hint="eastAsia"/>
                <w:color w:val="auto"/>
                <w:highlight w:val="none"/>
                <w:lang w:val="en-US" w:eastAsia="zh-CN"/>
              </w:rPr>
              <w:t>本项目与VOCs相关政策符合性分析见下表。</w:t>
            </w: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color w:val="auto"/>
                <w:highlight w:val="none"/>
                <w:vertAlign w:val="baseline"/>
                <w:lang w:val="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highlight w:val="none"/>
          <w:lang w:val="zh-CN"/>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31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65"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vertAlign w:val="baseline"/>
                <w:lang w:val="zh-CN"/>
              </w:rPr>
            </w:pPr>
          </w:p>
        </w:tc>
        <w:tc>
          <w:tcPr>
            <w:tcW w:w="13109" w:type="dxa"/>
            <w:tcBorders>
              <w:tl2br w:val="nil"/>
              <w:tr2bl w:val="nil"/>
            </w:tcBorders>
          </w:tcPr>
          <w:p>
            <w:pPr>
              <w:pStyle w:val="31"/>
              <w:bidi w:val="0"/>
              <w:rPr>
                <w:rFonts w:hint="default"/>
                <w:color w:val="auto"/>
                <w:highlight w:val="none"/>
                <w:lang w:val="zh-CN"/>
              </w:rPr>
            </w:pPr>
            <w:r>
              <w:rPr>
                <w:rFonts w:hint="default"/>
                <w:color w:val="auto"/>
                <w:sz w:val="21"/>
                <w:szCs w:val="21"/>
                <w:highlight w:val="none"/>
                <w:lang w:val="zh-CN"/>
              </w:rPr>
              <w:t>表</w:t>
            </w:r>
            <w:r>
              <w:rPr>
                <w:rFonts w:hint="eastAsia"/>
                <w:color w:val="auto"/>
                <w:sz w:val="21"/>
                <w:szCs w:val="21"/>
                <w:highlight w:val="none"/>
                <w:lang w:val="en-US" w:eastAsia="zh-CN"/>
              </w:rPr>
              <w:t xml:space="preserve">7  </w:t>
            </w:r>
            <w:r>
              <w:rPr>
                <w:rFonts w:hint="eastAsia"/>
                <w:color w:val="auto"/>
                <w:sz w:val="21"/>
                <w:szCs w:val="21"/>
                <w:highlight w:val="none"/>
              </w:rPr>
              <w:t>项目与</w:t>
            </w:r>
            <w:r>
              <w:rPr>
                <w:rFonts w:hint="default"/>
                <w:color w:val="auto"/>
                <w:sz w:val="21"/>
                <w:szCs w:val="21"/>
                <w:highlight w:val="none"/>
              </w:rPr>
              <w:t>VOC</w:t>
            </w:r>
            <w:r>
              <w:rPr>
                <w:rFonts w:hint="eastAsia"/>
                <w:color w:val="auto"/>
                <w:sz w:val="21"/>
                <w:szCs w:val="21"/>
                <w:highlight w:val="none"/>
                <w:lang w:val="en-US" w:eastAsia="zh-CN"/>
              </w:rPr>
              <w:t>s</w:t>
            </w:r>
            <w:r>
              <w:rPr>
                <w:rFonts w:hint="eastAsia"/>
                <w:color w:val="auto"/>
                <w:sz w:val="21"/>
                <w:szCs w:val="21"/>
                <w:highlight w:val="none"/>
              </w:rPr>
              <w:t>政策符合性分析一览表</w:t>
            </w:r>
          </w:p>
          <w:tbl>
            <w:tblPr>
              <w:tblStyle w:val="24"/>
              <w:tblW w:w="1275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28" w:type="dxa"/>
                <w:bottom w:w="0" w:type="dxa"/>
                <w:right w:w="28" w:type="dxa"/>
              </w:tblCellMar>
            </w:tblPr>
            <w:tblGrid>
              <w:gridCol w:w="529"/>
              <w:gridCol w:w="1295"/>
              <w:gridCol w:w="6690"/>
              <w:gridCol w:w="3413"/>
              <w:gridCol w:w="8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689" w:hRule="atLeast"/>
                <w:jc w:val="center"/>
              </w:trPr>
              <w:tc>
                <w:tcPr>
                  <w:tcW w:w="5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80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VOCs政策要求</w:t>
                  </w:r>
                </w:p>
              </w:tc>
              <w:tc>
                <w:tcPr>
                  <w:tcW w:w="3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本项目建设情况</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328" w:hRule="atLeast"/>
                <w:jc w:val="center"/>
              </w:trPr>
              <w:tc>
                <w:tcPr>
                  <w:tcW w:w="517"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rPr>
                  </w:pPr>
                </w:p>
              </w:tc>
              <w:tc>
                <w:tcPr>
                  <w:tcW w:w="12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Calibri" w:hAnsi="Calibri" w:eastAsia="宋体"/>
                      <w:color w:val="auto"/>
                      <w:sz w:val="21"/>
                      <w:szCs w:val="21"/>
                      <w:highlight w:val="none"/>
                    </w:rPr>
                    <w:t>“十三五”挥发性有机物污染防治工作方案</w:t>
                  </w:r>
                </w:p>
              </w:tc>
              <w:tc>
                <w:tcPr>
                  <w:tcW w:w="654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lang w:val="en-US" w:eastAsia="zh-CN"/>
                    </w:rPr>
                  </w:pPr>
                  <w:r>
                    <w:rPr>
                      <w:rFonts w:hint="eastAsia" w:eastAsia="宋体"/>
                      <w:color w:val="auto"/>
                      <w:sz w:val="21"/>
                      <w:szCs w:val="21"/>
                      <w:highlight w:val="none"/>
                    </w:rPr>
                    <w:t>重点地区要严格限制石化、化工、包装印刷、工业涂装等高VOCs排放建设项目。新建涉VOC</w:t>
                  </w:r>
                  <w:r>
                    <w:rPr>
                      <w:rFonts w:hint="eastAsia" w:eastAsia="宋体"/>
                      <w:color w:val="auto"/>
                      <w:sz w:val="21"/>
                      <w:szCs w:val="21"/>
                      <w:highlight w:val="none"/>
                      <w:lang w:val="en-US" w:eastAsia="zh-CN"/>
                    </w:rPr>
                    <w:t>s</w:t>
                  </w:r>
                  <w:r>
                    <w:rPr>
                      <w:rFonts w:hint="eastAsia" w:eastAsia="宋体"/>
                      <w:color w:val="auto"/>
                      <w:sz w:val="21"/>
                      <w:szCs w:val="21"/>
                      <w:highlight w:val="none"/>
                    </w:rPr>
                    <w:t>排放的工业企业要入园区。</w:t>
                  </w:r>
                </w:p>
              </w:tc>
              <w:tc>
                <w:tcPr>
                  <w:tcW w:w="3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本项目位于唐山市高新区学院北路1718-1号，唐山烯彤科技有限公司院内，在高新区北部拓展区内</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324" w:hRule="atLeast"/>
                <w:jc w:val="center"/>
              </w:trPr>
              <w:tc>
                <w:tcPr>
                  <w:tcW w:w="517"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rPr>
                  </w:pPr>
                </w:p>
              </w:tc>
              <w:tc>
                <w:tcPr>
                  <w:tcW w:w="12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关于印发《河北省涉VOCs工业企业常用治理技术指南》的通知（冀环应急[2022]140号）</w:t>
                  </w:r>
                </w:p>
              </w:tc>
              <w:tc>
                <w:tcPr>
                  <w:tcW w:w="6541" w:type="dxa"/>
                  <w:noWrap w:val="0"/>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0" w:firstLineChars="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过滤棉+活性炭吸附技术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（1）适用范围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①适用于VOCs产生量&lt;500kg/年，排放速率&lt;0.5kg/h的VOCs废气净化；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②蜂窝活性炭宜采用防水型，废气温度</w:t>
                  </w:r>
                  <w:r>
                    <w:rPr>
                      <w:rFonts w:hint="default" w:ascii="Arial" w:hAnsi="Arial" w:cs="Arial"/>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40℃</w:t>
                  </w:r>
                  <w:r>
                    <w:rPr>
                      <w:rFonts w:hint="eastAsia"/>
                      <w:color w:val="auto"/>
                      <w:sz w:val="21"/>
                      <w:szCs w:val="21"/>
                      <w:highlight w:val="none"/>
                      <w:lang w:val="en-US" w:eastAsia="zh-CN"/>
                    </w:rPr>
                    <w:t>，湿度</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60%；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w:t>
                  </w:r>
                  <w:r>
                    <w:rPr>
                      <w:rFonts w:hint="eastAsia" w:ascii="Times New Roman" w:hAnsi="Times New Roman" w:cs="Times New Roman"/>
                      <w:color w:val="auto"/>
                      <w:sz w:val="21"/>
                      <w:szCs w:val="21"/>
                      <w:highlight w:val="none"/>
                      <w:lang w:val="en-US" w:eastAsia="zh-CN"/>
                    </w:rPr>
                    <w:t>该吸附技术不适用于处理含苯乙烯、丙烯酸酯、环己酮、低分子有机酸等易发生聚合、氧化等反应或含有难脱附物质的废气。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firstLine="420" w:firstLineChars="200"/>
                    <w:jc w:val="left"/>
                    <w:textAlignment w:val="center"/>
                    <w:rPr>
                      <w:rFonts w:hint="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④</w:t>
                  </w:r>
                  <w:r>
                    <w:rPr>
                      <w:rFonts w:hint="eastAsia" w:ascii="Times New Roman" w:hAnsi="Times New Roman" w:cs="Times New Roman"/>
                      <w:color w:val="auto"/>
                      <w:sz w:val="21"/>
                      <w:szCs w:val="21"/>
                      <w:highlight w:val="none"/>
                      <w:lang w:val="en-US" w:eastAsia="zh-CN"/>
                    </w:rPr>
                    <w:t>过滤后废气中颗粒物或油烟</w:t>
                  </w:r>
                  <w:r>
                    <w:rPr>
                      <w:rFonts w:hint="eastAsia"/>
                      <w:color w:val="auto"/>
                      <w:sz w:val="21"/>
                      <w:szCs w:val="21"/>
                      <w:highlight w:val="none"/>
                      <w:lang w:val="en-US" w:eastAsia="zh-CN"/>
                    </w:rPr>
                    <w:t>&lt;1mg/m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（2）性能要求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olor w:val="auto"/>
                      <w:sz w:val="21"/>
                      <w:szCs w:val="21"/>
                      <w:highlight w:val="none"/>
                      <w:lang w:val="en-US" w:eastAsia="zh-CN"/>
                    </w:rPr>
                  </w:pPr>
                  <w:r>
                    <w:rPr>
                      <w:rFonts w:hint="eastAsia"/>
                      <w:color w:val="auto"/>
                      <w:sz w:val="21"/>
                      <w:szCs w:val="21"/>
                      <w:highlight w:val="none"/>
                      <w:lang w:val="en-US" w:eastAsia="zh-CN"/>
                    </w:rPr>
                    <w:t>蜂窝活性炭吸附单元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s="Times New Roman"/>
                      <w:color w:val="auto"/>
                      <w:sz w:val="21"/>
                      <w:szCs w:val="21"/>
                      <w:highlight w:val="none"/>
                      <w:lang w:val="en-US" w:eastAsia="zh-CN"/>
                    </w:rPr>
                  </w:pPr>
                  <w:r>
                    <w:rPr>
                      <w:rFonts w:hint="eastAsia"/>
                      <w:color w:val="auto"/>
                      <w:sz w:val="21"/>
                      <w:szCs w:val="21"/>
                      <w:highlight w:val="none"/>
                      <w:lang w:val="en-US" w:eastAsia="zh-CN"/>
                    </w:rPr>
                    <w:t>①蜂窝活性炭层表观流速宜</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1.2m/s；</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②吸附装置设计的总压力损失宜</w:t>
                  </w:r>
                  <w:r>
                    <w:rPr>
                      <w:rFonts w:hint="default" w:ascii="Calibri" w:hAnsi="Calibri" w:cs="Calibri"/>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600Pa；</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③</w:t>
                  </w:r>
                  <w:r>
                    <w:rPr>
                      <w:rFonts w:hint="eastAsia"/>
                      <w:color w:val="auto"/>
                      <w:sz w:val="21"/>
                      <w:szCs w:val="21"/>
                      <w:highlight w:val="none"/>
                      <w:lang w:val="en-US" w:eastAsia="zh-CN"/>
                    </w:rPr>
                    <w:t>采用一次性活性炭吸附工艺的，应选择碘值</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650mg/g的活性炭；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④蜂窝状活性炭的横向强度不应低于0.3MPa，纵向强度不应低于0.8MPa；</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⑤蜂窝状活性炭填充量与每小时处理废气量体积之比宜</w:t>
                  </w:r>
                  <w:r>
                    <w:rPr>
                      <w:rFonts w:hint="default" w:cs="Times New Roman" w:asciiTheme="minorAscii" w:hAnsiTheme="minorAscii"/>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:5000，每1万Nm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/h废气处理蜂窝活性炭吸附截面积宜</w:t>
                  </w:r>
                  <w:r>
                    <w:rPr>
                      <w:rFonts w:hint="default" w:cs="Times New Roman" w:asciiTheme="minorAscii" w:hAnsiTheme="minorAscii"/>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2.3m</w:t>
                  </w:r>
                  <w:r>
                    <w:rPr>
                      <w:rFonts w:hint="default" w:ascii="Times New Roman" w:hAnsi="Times New Roman"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tc>
              <w:tc>
                <w:tcPr>
                  <w:tcW w:w="3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本项目建成后全厂VOCs</w:t>
                  </w:r>
                  <w:r>
                    <w:rPr>
                      <w:rFonts w:hint="eastAsia"/>
                      <w:color w:val="auto"/>
                      <w:sz w:val="21"/>
                      <w:szCs w:val="21"/>
                      <w:highlight w:val="none"/>
                      <w:lang w:val="en-US" w:eastAsia="zh-CN"/>
                    </w:rPr>
                    <w:t>产生量&lt;500kg/年，排放速率&lt;0.5kg/h，采用防水型蜂窝活性炭，按照蜂窝活性炭吸附单元性能要求进行建设</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754" w:hRule="atLeast"/>
                <w:jc w:val="center"/>
              </w:trPr>
              <w:tc>
                <w:tcPr>
                  <w:tcW w:w="517"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rPr>
                  </w:pPr>
                </w:p>
              </w:tc>
              <w:tc>
                <w:tcPr>
                  <w:tcW w:w="1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color w:val="auto"/>
                      <w:kern w:val="0"/>
                      <w:sz w:val="21"/>
                      <w:szCs w:val="21"/>
                      <w:highlight w:val="none"/>
                      <w:lang w:val="en-US" w:eastAsia="zh-CN" w:bidi="ar"/>
                    </w:rPr>
                    <w:t>唐山市重点行业涉VOCs治理技术推荐指导</w:t>
                  </w:r>
                </w:p>
              </w:tc>
              <w:tc>
                <w:tcPr>
                  <w:tcW w:w="65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由于硫、氯、砷、磷、重金属等会引起的催化剂长久性中毒。故含有以上成分的废气不可使用催化燃烧设备</w:t>
                  </w:r>
                </w:p>
              </w:tc>
              <w:tc>
                <w:tcPr>
                  <w:tcW w:w="3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本项目建成后，印刷、印刷烘干、覆膜过程产生的废气与烘干及烧结还原废气采用两级活性炭吸附装置进行处理，</w:t>
                  </w:r>
                  <w:r>
                    <w:rPr>
                      <w:rFonts w:hint="eastAsia"/>
                      <w:color w:val="auto"/>
                      <w:sz w:val="21"/>
                      <w:szCs w:val="21"/>
                      <w:highlight w:val="none"/>
                      <w:lang w:val="en-US" w:eastAsia="zh-CN"/>
                    </w:rPr>
                    <w:t>根据VOCs吸附量定期更换活性炭，废活性炭作为危废处置</w:t>
                  </w:r>
                </w:p>
              </w:tc>
              <w:tc>
                <w:tcPr>
                  <w:tcW w:w="81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521" w:hRule="atLeast"/>
                <w:jc w:val="center"/>
              </w:trPr>
              <w:tc>
                <w:tcPr>
                  <w:tcW w:w="517"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rPr>
                  </w:pPr>
                </w:p>
              </w:tc>
              <w:tc>
                <w:tcPr>
                  <w:tcW w:w="1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65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采用一次性活性炭吸附技术的，应定期更换活性炭，废旧活性炭应再生或做危废处置</w:t>
                  </w:r>
                </w:p>
              </w:tc>
              <w:tc>
                <w:tcPr>
                  <w:tcW w:w="3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p>
              </w:tc>
              <w:tc>
                <w:tcPr>
                  <w:tcW w:w="81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r>
              <w:rPr>
                <w:rFonts w:hint="eastAsia"/>
                <w:color w:val="auto"/>
                <w:highlight w:val="none"/>
                <w:vertAlign w:val="baseline"/>
                <w:lang w:val="en-US" w:eastAsia="zh-CN"/>
              </w:rPr>
              <w:t>由上表可知，本项目符合</w:t>
            </w:r>
            <w:r>
              <w:rPr>
                <w:rFonts w:hint="eastAsia"/>
                <w:color w:val="auto"/>
                <w:highlight w:val="none"/>
                <w:lang w:val="en-US" w:eastAsia="zh-CN"/>
              </w:rPr>
              <w:t>VOCs相关政策要求。</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color w:val="auto"/>
                <w:highlight w:val="none"/>
                <w:lang w:val="zh-CN"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highlight w:val="none"/>
          <w:lang w:val="zh-CN"/>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ascii="黑体" w:hAnsi="黑体" w:eastAsia="黑体"/>
          <w:snapToGrid w:val="0"/>
          <w:color w:val="auto"/>
          <w:sz w:val="30"/>
          <w:szCs w:val="30"/>
          <w:highlight w:val="none"/>
        </w:rPr>
      </w:pPr>
      <w:bookmarkStart w:id="3" w:name="_Toc15867"/>
      <w:r>
        <w:rPr>
          <w:rFonts w:hint="eastAsia" w:ascii="黑体" w:hAnsi="黑体" w:eastAsia="黑体"/>
          <w:snapToGrid w:val="0"/>
          <w:color w:val="auto"/>
          <w:sz w:val="30"/>
          <w:szCs w:val="30"/>
          <w:highlight w:val="none"/>
        </w:rPr>
        <w:t>二、建设项目工程分析</w:t>
      </w:r>
      <w:bookmarkEnd w:id="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85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57" w:hRule="atLeast"/>
          <w:jc w:val="center"/>
        </w:trPr>
        <w:tc>
          <w:tcPr>
            <w:tcW w:w="840" w:type="dxa"/>
            <w:noWrap w:val="0"/>
            <w:vAlign w:val="center"/>
          </w:tcPr>
          <w:p>
            <w:pPr>
              <w:pStyle w:val="32"/>
              <w:bidi w:val="0"/>
              <w:rPr>
                <w:color w:val="auto"/>
                <w:sz w:val="24"/>
                <w:szCs w:val="24"/>
                <w:highlight w:val="none"/>
              </w:rPr>
            </w:pPr>
            <w:r>
              <w:rPr>
                <w:rFonts w:hint="eastAsia"/>
                <w:color w:val="auto"/>
                <w:sz w:val="24"/>
                <w:szCs w:val="24"/>
                <w:highlight w:val="none"/>
              </w:rPr>
              <w:t>建设内容</w:t>
            </w:r>
          </w:p>
        </w:tc>
        <w:tc>
          <w:tcPr>
            <w:tcW w:w="8514" w:type="dxa"/>
            <w:noWrap w:val="0"/>
            <w:vAlign w:val="top"/>
          </w:tcPr>
          <w:p>
            <w:pPr>
              <w:keepNext w:val="0"/>
              <w:keepLines w:val="0"/>
              <w:pageBreakBefore w:val="0"/>
              <w:widowControl w:val="0"/>
              <w:numPr>
                <w:ilvl w:val="0"/>
                <w:numId w:val="8"/>
              </w:numPr>
              <w:suppressLineNumbers w:val="0"/>
              <w:kinsoku/>
              <w:wordWrap/>
              <w:overflowPunct/>
              <w:topLinePunct w:val="0"/>
              <w:autoSpaceDE w:val="0"/>
              <w:autoSpaceDN w:val="0"/>
              <w:bidi w:val="0"/>
              <w:adjustRightInd w:val="0"/>
              <w:snapToGrid/>
              <w:spacing w:beforeAutospacing="0" w:after="0" w:afterAutospacing="0" w:line="480" w:lineRule="exact"/>
              <w:ind w:right="0" w:firstLine="0" w:firstLineChars="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项目由来</w:t>
            </w:r>
          </w:p>
          <w:p>
            <w:pPr>
              <w:bidi w:val="0"/>
              <w:rPr>
                <w:rFonts w:hint="default"/>
                <w:color w:val="auto"/>
                <w:sz w:val="24"/>
                <w:szCs w:val="24"/>
                <w:highlight w:val="none"/>
                <w:lang w:val="en-US" w:eastAsia="zh-CN"/>
              </w:rPr>
            </w:pPr>
            <w:r>
              <w:rPr>
                <w:rFonts w:hint="eastAsia"/>
                <w:color w:val="auto"/>
                <w:sz w:val="24"/>
                <w:szCs w:val="24"/>
                <w:highlight w:val="none"/>
                <w:lang w:val="en-US" w:eastAsia="zh-CN"/>
              </w:rPr>
              <w:t>唐山烯彤科技有限公司位于唐山市高新区学院北路1718-1号，成立于2020年11月18日，于2020年03月实施了年产八万套石墨烯电发热元件及年产三千吨高性能等静压石墨项目，主要建设石墨烯电发热元件生产线和等静压石墨生产线，年产</w:t>
            </w:r>
            <w:r>
              <w:rPr>
                <w:rFonts w:hint="eastAsia" w:ascii="Times New Roman" w:hAnsi="Times New Roman" w:eastAsia="宋体"/>
                <w:color w:val="auto"/>
                <w:sz w:val="24"/>
                <w:szCs w:val="30"/>
              </w:rPr>
              <w:t>石墨烯电发热元件8万套、高性能等静压石墨3000t</w:t>
            </w:r>
            <w:r>
              <w:rPr>
                <w:rFonts w:hint="eastAsia"/>
                <w:color w:val="auto"/>
                <w:sz w:val="24"/>
                <w:szCs w:val="24"/>
                <w:highlight w:val="none"/>
                <w:lang w:val="en-US" w:eastAsia="zh-CN"/>
              </w:rPr>
              <w:t>。该项目于2020年03月09日取得唐山高新技术产业开发区行政审批局的审批意见（唐高行审环表[2020]4号），并于2020年11月06日进行了自主验收，并取得了专家签字的验收意见。企业于2020年11月17日进行了排污登记，取得固定污染源排污登记回执，登记编号：91130293MA0D04HWXG001X，有效期为2020年11月17日至2025年11月16日。</w:t>
            </w:r>
          </w:p>
          <w:p>
            <w:pPr>
              <w:bidi w:val="0"/>
              <w:rPr>
                <w:rFonts w:hint="default"/>
                <w:color w:val="auto"/>
                <w:sz w:val="24"/>
                <w:szCs w:val="24"/>
                <w:highlight w:val="none"/>
                <w:lang w:val="en-US" w:eastAsia="zh-CN"/>
              </w:rPr>
            </w:pPr>
            <w:r>
              <w:rPr>
                <w:rFonts w:hint="eastAsia"/>
                <w:color w:val="auto"/>
                <w:sz w:val="24"/>
                <w:szCs w:val="24"/>
                <w:highlight w:val="none"/>
                <w:lang w:val="en-US" w:eastAsia="zh-CN"/>
              </w:rPr>
              <w:t>为适应市场需求，唐山烯彤科技有限公司拟投资300万元，利用现有厂房建设年产八万套石墨烯电发热元件技改及年产五万台节能速热电锅炉建设项目，项目建成后全厂年产</w:t>
            </w:r>
            <w:r>
              <w:rPr>
                <w:rFonts w:hint="eastAsia" w:ascii="Times New Roman" w:hAnsi="Times New Roman" w:eastAsia="宋体"/>
                <w:color w:val="auto"/>
                <w:sz w:val="24"/>
                <w:szCs w:val="30"/>
              </w:rPr>
              <w:t>石墨烯电发热元件8万套、</w:t>
            </w:r>
            <w:r>
              <w:rPr>
                <w:rFonts w:hint="eastAsia" w:ascii="Times New Roman" w:hAnsi="Times New Roman" w:eastAsia="宋体"/>
                <w:color w:val="auto"/>
                <w:sz w:val="24"/>
                <w:szCs w:val="30"/>
                <w:lang w:val="en-US" w:eastAsia="zh-CN"/>
              </w:rPr>
              <w:t>节能速热电锅炉5万台</w:t>
            </w:r>
            <w:r>
              <w:rPr>
                <w:rFonts w:hint="eastAsia"/>
                <w:color w:val="auto"/>
                <w:sz w:val="24"/>
                <w:szCs w:val="24"/>
                <w:highlight w:val="none"/>
                <w:lang w:val="en-US" w:eastAsia="zh-CN"/>
              </w:rPr>
              <w:t>。</w:t>
            </w:r>
          </w:p>
          <w:p>
            <w:pPr>
              <w:bidi w:val="0"/>
              <w:rPr>
                <w:rFonts w:hint="eastAsia" w:eastAsia="宋体"/>
                <w:color w:val="auto"/>
                <w:sz w:val="24"/>
                <w:szCs w:val="24"/>
                <w:highlight w:val="none"/>
                <w:lang w:eastAsia="zh-CN"/>
              </w:rPr>
            </w:pPr>
            <w:r>
              <w:rPr>
                <w:rFonts w:hint="eastAsia"/>
                <w:color w:val="auto"/>
                <w:sz w:val="24"/>
                <w:szCs w:val="24"/>
                <w:highlight w:val="none"/>
                <w:lang w:val="en-US" w:eastAsia="zh-CN"/>
              </w:rPr>
              <w:t>本项目主要对现有石墨烯电发热元件生产线进行改造，同时新建节能速热电锅炉组装生产线，生产节能速热电锅炉，为家用电热取暖器具，</w:t>
            </w:r>
            <w:r>
              <w:rPr>
                <w:rFonts w:hint="default"/>
                <w:color w:val="auto"/>
                <w:sz w:val="24"/>
                <w:szCs w:val="24"/>
                <w:highlight w:val="none"/>
                <w:lang w:eastAsia="zh-CN"/>
              </w:rPr>
              <w:t>根据《中华人民共和国环境保护法》、《中华人民共和国环境影响评价法》、《建设项目环境保护管理条例》（国务院</w:t>
            </w:r>
            <w:r>
              <w:rPr>
                <w:rFonts w:hint="eastAsia"/>
                <w:color w:val="auto"/>
                <w:sz w:val="24"/>
                <w:szCs w:val="24"/>
                <w:highlight w:val="none"/>
                <w:lang w:val="en-US" w:eastAsia="zh-CN"/>
              </w:rPr>
              <w:t>第</w:t>
            </w:r>
            <w:r>
              <w:rPr>
                <w:rFonts w:hint="default"/>
                <w:color w:val="auto"/>
                <w:sz w:val="24"/>
                <w:szCs w:val="24"/>
                <w:highlight w:val="none"/>
                <w:lang w:eastAsia="zh-CN"/>
              </w:rPr>
              <w:t>682号令）的要求，</w:t>
            </w:r>
            <w:r>
              <w:rPr>
                <w:rFonts w:hint="eastAsia"/>
                <w:color w:val="auto"/>
                <w:highlight w:val="none"/>
                <w:lang w:val="en-US" w:eastAsia="zh-CN"/>
              </w:rPr>
              <w:t>以及</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16号）等环保法律法规的相关规定</w:t>
            </w:r>
            <w:r>
              <w:rPr>
                <w:rFonts w:hint="eastAsia"/>
                <w:color w:val="auto"/>
                <w:highlight w:val="none"/>
                <w:lang w:eastAsia="zh-CN"/>
              </w:rPr>
              <w:t>，</w:t>
            </w:r>
            <w:r>
              <w:rPr>
                <w:rFonts w:hint="default"/>
                <w:color w:val="auto"/>
                <w:highlight w:val="none"/>
              </w:rPr>
              <w:t>该项目属于</w:t>
            </w:r>
            <w:r>
              <w:rPr>
                <w:rFonts w:hint="eastAsia"/>
                <w:color w:val="auto"/>
                <w:highlight w:val="none"/>
              </w:rPr>
              <w:t>“</w:t>
            </w:r>
            <w:r>
              <w:rPr>
                <w:rFonts w:hint="eastAsia"/>
                <w:color w:val="auto"/>
                <w:sz w:val="24"/>
                <w:szCs w:val="24"/>
                <w:highlight w:val="none"/>
                <w:lang w:val="en-US" w:eastAsia="zh-CN"/>
              </w:rPr>
              <w:t>三十五、电气机械和器材制造业38-77.家用电力器具制造385-其他（仅分割、焊接、组装的除外；年用非溶剂型低VOCs含量涂料10吨以下的除外）”</w:t>
            </w:r>
            <w:r>
              <w:rPr>
                <w:rFonts w:hint="eastAsia"/>
                <w:color w:val="auto"/>
                <w:highlight w:val="none"/>
                <w:lang w:val="en-US" w:eastAsia="zh-CN"/>
              </w:rPr>
              <w:t>，</w:t>
            </w:r>
            <w:r>
              <w:rPr>
                <w:rFonts w:hint="default"/>
                <w:color w:val="auto"/>
                <w:highlight w:val="none"/>
              </w:rPr>
              <w:t>应编制环境影响报告表。</w:t>
            </w:r>
            <w:r>
              <w:rPr>
                <w:rFonts w:hint="eastAsia"/>
                <w:color w:val="auto"/>
                <w:highlight w:val="none"/>
                <w:lang w:val="en-US" w:eastAsia="zh-CN"/>
              </w:rPr>
              <w:t>唐山烯彤科技有限公司</w:t>
            </w:r>
            <w:r>
              <w:rPr>
                <w:rFonts w:hint="default"/>
                <w:color w:val="auto"/>
                <w:highlight w:val="none"/>
              </w:rPr>
              <w:t>委托我公司承担该项目的环境影响报告表的编制工作，接受委托后，我单位立即开展了现场踏勘、资料收集等工作，</w:t>
            </w:r>
            <w:r>
              <w:rPr>
                <w:rFonts w:hint="eastAsia"/>
                <w:color w:val="auto"/>
                <w:highlight w:val="none"/>
                <w:lang w:val="en-US" w:eastAsia="zh-CN"/>
              </w:rPr>
              <w:t>并</w:t>
            </w:r>
            <w:r>
              <w:rPr>
                <w:rFonts w:hint="default"/>
                <w:color w:val="auto"/>
                <w:highlight w:val="none"/>
              </w:rPr>
              <w:t>根据国家、省、市有关环保政策、法规及</w:t>
            </w:r>
            <w:r>
              <w:rPr>
                <w:rFonts w:hint="eastAsia"/>
                <w:color w:val="auto"/>
                <w:sz w:val="24"/>
                <w:szCs w:val="24"/>
                <w:highlight w:val="none"/>
                <w:lang w:val="en-US" w:eastAsia="zh-CN"/>
              </w:rPr>
              <w:t>唐山市生态环境局高新技术产业开发区分局、唐山高新技术产业开发区行政审批局</w:t>
            </w:r>
            <w:r>
              <w:rPr>
                <w:rFonts w:hint="default"/>
                <w:color w:val="auto"/>
                <w:highlight w:val="none"/>
              </w:rPr>
              <w:t>要求，从本项目及周边环境实际出发，分析项目建设与运营对环境的影响，</w:t>
            </w:r>
            <w:r>
              <w:rPr>
                <w:rFonts w:hint="eastAsia"/>
                <w:color w:val="auto"/>
                <w:highlight w:val="none"/>
                <w:lang w:val="en-US" w:eastAsia="zh-CN"/>
              </w:rPr>
              <w:t>编制完成了</w:t>
            </w:r>
            <w:r>
              <w:rPr>
                <w:rFonts w:hint="default"/>
                <w:color w:val="auto"/>
                <w:highlight w:val="none"/>
              </w:rPr>
              <w:t>本项目环境影响报告表</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olor w:val="auto"/>
                <w:sz w:val="24"/>
                <w:szCs w:val="24"/>
                <w:highlight w:val="none"/>
                <w:lang w:val="en-US" w:eastAsia="zh-CN"/>
              </w:rPr>
              <w:t>二</w:t>
            </w:r>
            <w:r>
              <w:rPr>
                <w:rFonts w:hint="eastAsia"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现有</w:t>
            </w:r>
            <w:r>
              <w:rPr>
                <w:rFonts w:hint="eastAsia" w:ascii="Times New Roman" w:hAnsi="Times New Roman" w:cs="Times New Roman"/>
                <w:b/>
                <w:bCs/>
                <w:color w:val="auto"/>
                <w:sz w:val="24"/>
                <w:szCs w:val="24"/>
                <w:highlight w:val="none"/>
                <w:lang w:val="en-US" w:eastAsia="zh-CN"/>
              </w:rPr>
              <w:t>工程建设情况</w:t>
            </w:r>
          </w:p>
          <w:p>
            <w:pPr>
              <w:bidi w:val="0"/>
              <w:rPr>
                <w:rFonts w:hint="default" w:eastAsia="宋体"/>
                <w:color w:val="auto"/>
                <w:highlight w:val="none"/>
                <w:lang w:val="en-US" w:eastAsia="zh-CN"/>
              </w:rPr>
            </w:pPr>
            <w:r>
              <w:rPr>
                <w:rFonts w:hint="eastAsia"/>
                <w:color w:val="auto"/>
                <w:sz w:val="24"/>
                <w:szCs w:val="24"/>
                <w:highlight w:val="none"/>
                <w:lang w:val="en-US" w:eastAsia="zh-CN"/>
              </w:rPr>
              <w:t>唐山烯彤科技有限公司于2020年03月实施了年产八万套石墨烯电发热元件及年产三千吨高性能等静压石墨项目，该项目主要建设石墨烯电发热元件生产线和等静压石墨生产线，年产</w:t>
            </w:r>
            <w:r>
              <w:rPr>
                <w:rFonts w:hint="eastAsia" w:ascii="Times New Roman" w:hAnsi="Times New Roman" w:eastAsia="宋体"/>
                <w:color w:val="auto"/>
                <w:sz w:val="24"/>
                <w:szCs w:val="30"/>
              </w:rPr>
              <w:t>石墨烯电发热元件8万套、高性能等静压石墨3000t</w:t>
            </w:r>
            <w:r>
              <w:rPr>
                <w:rFonts w:hint="eastAsia"/>
                <w:color w:val="auto"/>
                <w:sz w:val="24"/>
                <w:szCs w:val="30"/>
                <w:lang w:eastAsia="zh-CN"/>
              </w:rPr>
              <w:t>，</w:t>
            </w:r>
            <w:r>
              <w:rPr>
                <w:rFonts w:hint="eastAsia"/>
                <w:color w:val="auto"/>
                <w:sz w:val="24"/>
                <w:szCs w:val="30"/>
                <w:lang w:val="en-US" w:eastAsia="zh-CN"/>
              </w:rPr>
              <w:t>根据市场需求及订单数量，</w:t>
            </w:r>
            <w:r>
              <w:rPr>
                <w:rFonts w:hint="eastAsia"/>
                <w:color w:val="auto"/>
                <w:sz w:val="24"/>
                <w:szCs w:val="24"/>
                <w:highlight w:val="none"/>
                <w:lang w:val="en-US" w:eastAsia="zh-CN"/>
              </w:rPr>
              <w:t>唐山烯彤科技有限公司于</w:t>
            </w:r>
            <w:r>
              <w:rPr>
                <w:rFonts w:hint="eastAsia"/>
                <w:color w:val="auto"/>
                <w:sz w:val="24"/>
                <w:szCs w:val="30"/>
                <w:lang w:val="en-US" w:eastAsia="zh-CN"/>
              </w:rPr>
              <w:t>2021年决定不再生产高性能等静压石墨，并计划不再复产，因此，本次评价现有工程不再对其进行分析。</w:t>
            </w:r>
          </w:p>
          <w:p>
            <w:pPr>
              <w:bidi w:val="0"/>
              <w:rPr>
                <w:rFonts w:hint="default"/>
                <w:color w:val="auto"/>
                <w:highlight w:val="none"/>
              </w:rPr>
            </w:pPr>
            <w:r>
              <w:rPr>
                <w:rFonts w:hint="eastAsia"/>
                <w:color w:val="auto"/>
                <w:highlight w:val="none"/>
                <w:lang w:val="en-US" w:eastAsia="zh-CN"/>
              </w:rPr>
              <w:t>1、</w:t>
            </w:r>
            <w:r>
              <w:rPr>
                <w:rFonts w:hint="default"/>
                <w:color w:val="auto"/>
                <w:highlight w:val="none"/>
              </w:rPr>
              <w:t>建设单位：</w:t>
            </w:r>
            <w:r>
              <w:rPr>
                <w:rFonts w:hint="eastAsia"/>
                <w:color w:val="auto"/>
                <w:sz w:val="24"/>
                <w:szCs w:val="24"/>
                <w:highlight w:val="none"/>
                <w:lang w:val="en-US" w:eastAsia="zh-CN"/>
              </w:rPr>
              <w:t>唐山烯彤科技有限公司</w:t>
            </w:r>
            <w:r>
              <w:rPr>
                <w:rFonts w:hint="default"/>
                <w:color w:val="auto"/>
                <w:highlight w:val="none"/>
              </w:rPr>
              <w:t>。</w:t>
            </w:r>
          </w:p>
          <w:p>
            <w:pPr>
              <w:bidi w:val="0"/>
              <w:rPr>
                <w:rFonts w:hint="eastAsia" w:eastAsia="宋体"/>
                <w:color w:val="auto"/>
                <w:highlight w:val="none"/>
                <w:lang w:val="en-US" w:eastAsia="zh-CN"/>
              </w:rPr>
            </w:pPr>
            <w:r>
              <w:rPr>
                <w:rFonts w:hint="eastAsia"/>
                <w:color w:val="auto"/>
                <w:highlight w:val="none"/>
                <w:lang w:val="en-US" w:eastAsia="zh-CN"/>
              </w:rPr>
              <w:t>2、</w:t>
            </w:r>
            <w:r>
              <w:rPr>
                <w:rFonts w:hint="default"/>
                <w:color w:val="auto"/>
                <w:highlight w:val="none"/>
              </w:rPr>
              <w:t>建设地点：</w:t>
            </w:r>
            <w:r>
              <w:rPr>
                <w:rFonts w:hint="eastAsia"/>
                <w:color w:val="auto"/>
                <w:sz w:val="24"/>
                <w:szCs w:val="30"/>
                <w:lang w:eastAsia="zh-CN"/>
              </w:rPr>
              <w:t>唐山市高新区学院北路1718-1号</w:t>
            </w:r>
            <w:r>
              <w:rPr>
                <w:rFonts w:hint="default"/>
                <w:color w:val="auto"/>
                <w:highlight w:val="none"/>
              </w:rPr>
              <w:t>。</w:t>
            </w:r>
          </w:p>
          <w:p>
            <w:pPr>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3、</w:t>
            </w:r>
            <w:r>
              <w:rPr>
                <w:rFonts w:hint="default"/>
                <w:color w:val="auto"/>
                <w:sz w:val="24"/>
                <w:szCs w:val="24"/>
                <w:highlight w:val="none"/>
              </w:rPr>
              <w:t>项目组成</w:t>
            </w:r>
            <w:r>
              <w:rPr>
                <w:rFonts w:hint="eastAsia"/>
                <w:color w:val="auto"/>
                <w:sz w:val="24"/>
                <w:szCs w:val="24"/>
                <w:highlight w:val="none"/>
                <w:lang w:val="en-US" w:eastAsia="zh-CN"/>
              </w:rPr>
              <w:t>：主体工程为生产区；辅助工程为办公区；储运工程包括库房、危废间及原料、成品储存区等；公用工程包括供水、供电、供暖等</w:t>
            </w:r>
            <w:r>
              <w:rPr>
                <w:rFonts w:hint="default"/>
                <w:color w:val="auto"/>
                <w:sz w:val="24"/>
                <w:szCs w:val="24"/>
                <w:highlight w:val="none"/>
              </w:rPr>
              <w:t>。</w:t>
            </w:r>
            <w:r>
              <w:rPr>
                <w:rFonts w:hint="eastAsia"/>
                <w:color w:val="auto"/>
                <w:sz w:val="24"/>
                <w:szCs w:val="24"/>
                <w:highlight w:val="none"/>
                <w:lang w:val="en-US" w:eastAsia="zh-CN"/>
              </w:rPr>
              <w:t>现有工程主要建构筑物见表8，现有工程主要建设内容见表9。</w:t>
            </w:r>
          </w:p>
          <w:p>
            <w:pPr>
              <w:pStyle w:val="31"/>
              <w:bidi w:val="0"/>
              <w:rPr>
                <w:color w:val="auto"/>
              </w:rPr>
            </w:pPr>
            <w:r>
              <w:rPr>
                <w:rFonts w:hint="eastAsia"/>
                <w:color w:val="auto"/>
              </w:rPr>
              <w:t>表</w:t>
            </w:r>
            <w:r>
              <w:rPr>
                <w:rFonts w:hint="eastAsia"/>
                <w:color w:val="auto"/>
                <w:lang w:val="en-US" w:eastAsia="zh-CN"/>
              </w:rPr>
              <w:t>8</w:t>
            </w:r>
            <w:r>
              <w:rPr>
                <w:rFonts w:hint="eastAsia"/>
                <w:color w:val="auto"/>
              </w:rPr>
              <w:t xml:space="preserve">  </w:t>
            </w:r>
            <w:r>
              <w:rPr>
                <w:rFonts w:hint="eastAsia"/>
                <w:color w:val="auto"/>
                <w:lang w:val="en-US" w:eastAsia="zh-CN"/>
              </w:rPr>
              <w:t>现有工程</w:t>
            </w:r>
            <w:r>
              <w:rPr>
                <w:color w:val="auto"/>
              </w:rPr>
              <w:t>主要建、构筑物一览表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095"/>
              <w:gridCol w:w="1500"/>
              <w:gridCol w:w="4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7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09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占地</w:t>
                  </w:r>
                  <w:r>
                    <w:rPr>
                      <w:rFonts w:hint="default"/>
                      <w:color w:val="auto"/>
                      <w:sz w:val="21"/>
                      <w:szCs w:val="21"/>
                      <w:highlight w:val="none"/>
                    </w:rPr>
                    <w:t>面积（m</w:t>
                  </w:r>
                  <w:r>
                    <w:rPr>
                      <w:rFonts w:hint="default"/>
                      <w:color w:val="auto"/>
                      <w:sz w:val="21"/>
                      <w:szCs w:val="21"/>
                      <w:highlight w:val="none"/>
                      <w:vertAlign w:val="superscript"/>
                    </w:rPr>
                    <w:t>2</w:t>
                  </w:r>
                  <w:r>
                    <w:rPr>
                      <w:rFonts w:hint="default"/>
                      <w:color w:val="auto"/>
                      <w:sz w:val="21"/>
                      <w:szCs w:val="21"/>
                      <w:highlight w:val="none"/>
                    </w:rPr>
                    <w:t>）</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732" w:type="dxa"/>
                  <w:tcBorders>
                    <w:tl2br w:val="nil"/>
                    <w:tr2bl w:val="nil"/>
                  </w:tcBorders>
                  <w:noWrap w:val="0"/>
                  <w:vAlign w:val="center"/>
                </w:tcPr>
                <w:p>
                  <w:pPr>
                    <w:pStyle w:val="32"/>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95" w:type="dxa"/>
                  <w:tcBorders>
                    <w:tl2br w:val="nil"/>
                    <w:tr2bl w:val="nil"/>
                  </w:tcBorders>
                  <w:noWrap w:val="0"/>
                  <w:vAlign w:val="center"/>
                </w:tcPr>
                <w:p>
                  <w:pPr>
                    <w:pStyle w:val="32"/>
                    <w:ind w:firstLine="0" w:firstLineChars="0"/>
                    <w:rPr>
                      <w:rFonts w:hint="eastAsia" w:eastAsia="宋体"/>
                      <w:color w:val="auto"/>
                      <w:sz w:val="21"/>
                      <w:szCs w:val="21"/>
                      <w:highlight w:val="none"/>
                      <w:lang w:val="en-US" w:eastAsia="zh-CN"/>
                    </w:rPr>
                  </w:pPr>
                  <w:r>
                    <w:rPr>
                      <w:rFonts w:hint="eastAsia"/>
                      <w:color w:val="auto"/>
                      <w:sz w:val="21"/>
                      <w:highlight w:val="none"/>
                      <w:lang w:val="en-US" w:eastAsia="zh-CN"/>
                    </w:rPr>
                    <w:t>生产车间</w:t>
                  </w:r>
                </w:p>
              </w:tc>
              <w:tc>
                <w:tcPr>
                  <w:tcW w:w="1500"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7600</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生产车间南部主要为办公区，四层，高14m，占地面积1600m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（东侧</w:t>
                  </w:r>
                  <w:r>
                    <w:rPr>
                      <w:rFonts w:hint="eastAsia"/>
                      <w:color w:val="auto"/>
                      <w:sz w:val="21"/>
                      <w:szCs w:val="21"/>
                      <w:highlight w:val="none"/>
                      <w:vertAlign w:val="baseline"/>
                      <w:lang w:val="en-US" w:eastAsia="zh-CN"/>
                    </w:rPr>
                    <w:t>约</w:t>
                  </w:r>
                  <w:r>
                    <w:rPr>
                      <w:rFonts w:hint="eastAsia" w:eastAsia="宋体"/>
                      <w:color w:val="auto"/>
                      <w:sz w:val="21"/>
                      <w:szCs w:val="21"/>
                      <w:highlight w:val="none"/>
                      <w:vertAlign w:val="baseline"/>
                      <w:lang w:val="en-US" w:eastAsia="zh-CN"/>
                    </w:rPr>
                    <w:t>800m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eastAsia="宋体"/>
                      <w:color w:val="auto"/>
                      <w:sz w:val="21"/>
                      <w:szCs w:val="21"/>
                      <w:highlight w:val="none"/>
                      <w:lang w:val="en-US" w:eastAsia="zh-CN"/>
                    </w:rPr>
                    <w:t>；生产车间北部主要为生产区，两层，高16m，占地面积6000m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一层</w:t>
                  </w:r>
                  <w:r>
                    <w:rPr>
                      <w:rFonts w:hint="eastAsia" w:eastAsia="宋体"/>
                      <w:color w:val="auto"/>
                      <w:sz w:val="21"/>
                      <w:szCs w:val="21"/>
                      <w:highlight w:val="none"/>
                      <w:vertAlign w:val="baseline"/>
                      <w:lang w:val="en-US" w:eastAsia="zh-CN"/>
                    </w:rPr>
                    <w:t>东侧</w:t>
                  </w:r>
                  <w:r>
                    <w:rPr>
                      <w:rFonts w:hint="eastAsia"/>
                      <w:color w:val="auto"/>
                      <w:sz w:val="21"/>
                      <w:szCs w:val="21"/>
                      <w:highlight w:val="none"/>
                      <w:vertAlign w:val="baseline"/>
                      <w:lang w:val="en-US" w:eastAsia="zh-CN"/>
                    </w:rPr>
                    <w:t>约40</w:t>
                  </w:r>
                  <w:r>
                    <w:rPr>
                      <w:rFonts w:hint="eastAsia" w:eastAsia="宋体"/>
                      <w:color w:val="auto"/>
                      <w:sz w:val="21"/>
                      <w:szCs w:val="21"/>
                      <w:highlight w:val="none"/>
                      <w:vertAlign w:val="baseline"/>
                      <w:lang w:val="en-US" w:eastAsia="zh-CN"/>
                    </w:rPr>
                    <w:t>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color w:val="auto"/>
                      <w:sz w:val="21"/>
                      <w:szCs w:val="21"/>
                      <w:highlight w:val="none"/>
                      <w:vertAlign w:val="baseline"/>
                      <w:lang w:val="en-US" w:eastAsia="zh-CN"/>
                    </w:rPr>
                    <w:t>和唐山墨希新材料科技有限公司，二层东侧约40</w:t>
                  </w:r>
                  <w:r>
                    <w:rPr>
                      <w:rFonts w:hint="eastAsia" w:eastAsia="宋体"/>
                      <w:color w:val="auto"/>
                      <w:sz w:val="21"/>
                      <w:szCs w:val="21"/>
                      <w:highlight w:val="none"/>
                      <w:vertAlign w:val="baseline"/>
                      <w:lang w:val="en-US" w:eastAsia="zh-CN"/>
                    </w:rPr>
                    <w:t>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eastAsia="宋体"/>
                      <w:color w:val="auto"/>
                      <w:sz w:val="21"/>
                      <w:szCs w:val="21"/>
                      <w:highlight w:val="none"/>
                      <w:lang w:val="en-US" w:eastAsia="zh-CN"/>
                    </w:rPr>
                    <w:t>，一层</w:t>
                  </w:r>
                  <w:r>
                    <w:rPr>
                      <w:rFonts w:hint="eastAsia"/>
                      <w:color w:val="auto"/>
                      <w:sz w:val="21"/>
                      <w:szCs w:val="21"/>
                      <w:highlight w:val="none"/>
                      <w:lang w:val="en-US" w:eastAsia="zh-CN"/>
                    </w:rPr>
                    <w:t>主要用于生产</w:t>
                  </w:r>
                  <w:r>
                    <w:rPr>
                      <w:rFonts w:hint="eastAsia" w:eastAsia="宋体"/>
                      <w:color w:val="auto"/>
                      <w:sz w:val="21"/>
                      <w:szCs w:val="21"/>
                      <w:highlight w:val="none"/>
                      <w:lang w:val="en-US" w:eastAsia="zh-CN"/>
                    </w:rPr>
                    <w:t>，二层主要</w:t>
                  </w:r>
                  <w:r>
                    <w:rPr>
                      <w:rFonts w:hint="eastAsia"/>
                      <w:color w:val="auto"/>
                      <w:sz w:val="21"/>
                      <w:szCs w:val="21"/>
                      <w:highlight w:val="none"/>
                      <w:lang w:val="en-US" w:eastAsia="zh-CN"/>
                    </w:rPr>
                    <w:t>用于包装和原料、成品储存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32" w:type="dxa"/>
                  <w:tcBorders>
                    <w:tl2br w:val="nil"/>
                    <w:tr2bl w:val="nil"/>
                  </w:tcBorders>
                  <w:noWrap w:val="0"/>
                  <w:vAlign w:val="center"/>
                </w:tcPr>
                <w:p>
                  <w:pPr>
                    <w:pStyle w:val="32"/>
                    <w:keepNext w:val="0"/>
                    <w:keepLines w:val="0"/>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95"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危废间</w:t>
                  </w:r>
                </w:p>
              </w:tc>
              <w:tc>
                <w:tcPr>
                  <w:tcW w:w="1500"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15</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位于生产车间内西北侧</w:t>
                  </w:r>
                </w:p>
              </w:tc>
            </w:tr>
          </w:tbl>
          <w:p>
            <w:pPr>
              <w:pStyle w:val="31"/>
              <w:bidi w:val="0"/>
              <w:rPr>
                <w:color w:val="auto"/>
              </w:rPr>
            </w:pPr>
            <w:r>
              <w:rPr>
                <w:rFonts w:hint="eastAsia"/>
                <w:color w:val="auto"/>
              </w:rPr>
              <w:t>表</w:t>
            </w:r>
            <w:r>
              <w:rPr>
                <w:rFonts w:hint="eastAsia"/>
                <w:color w:val="auto"/>
                <w:lang w:val="en-US" w:eastAsia="zh-CN"/>
              </w:rPr>
              <w:t>9</w:t>
            </w:r>
            <w:r>
              <w:rPr>
                <w:rFonts w:hint="eastAsia"/>
                <w:color w:val="auto"/>
              </w:rPr>
              <w:t xml:space="preserve">  </w:t>
            </w:r>
            <w:r>
              <w:rPr>
                <w:rFonts w:hint="eastAsia"/>
                <w:color w:val="auto"/>
                <w:lang w:val="en-US" w:eastAsia="zh-CN"/>
              </w:rPr>
              <w:t>现有工程建设内容</w:t>
            </w:r>
            <w:r>
              <w:rPr>
                <w:color w:val="auto"/>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334"/>
              <w:gridCol w:w="5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项目</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主要设施</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工程</w:t>
                  </w:r>
                  <w:r>
                    <w:rPr>
                      <w:color w:val="auto"/>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主体</w:t>
                  </w:r>
                  <w:r>
                    <w:rPr>
                      <w:color w:val="auto"/>
                    </w:rPr>
                    <w:t>工程</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生产区</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2层建筑，布置安装镀膜机</w:t>
                  </w:r>
                  <w:r>
                    <w:rPr>
                      <w:color w:val="auto"/>
                    </w:rPr>
                    <w:t>、</w:t>
                  </w:r>
                  <w:r>
                    <w:rPr>
                      <w:rFonts w:hint="eastAsia"/>
                      <w:color w:val="auto"/>
                    </w:rPr>
                    <w:t>空压机</w:t>
                  </w:r>
                  <w:r>
                    <w:rPr>
                      <w:color w:val="auto"/>
                    </w:rPr>
                    <w:t>、丝印机、</w:t>
                  </w:r>
                  <w:r>
                    <w:rPr>
                      <w:rFonts w:hint="eastAsia"/>
                      <w:color w:val="auto"/>
                    </w:rPr>
                    <w:t>烘干</w:t>
                  </w:r>
                  <w:r>
                    <w:rPr>
                      <w:rFonts w:hint="eastAsia"/>
                      <w:color w:val="auto"/>
                      <w:lang w:val="en-US" w:eastAsia="zh-CN"/>
                    </w:rPr>
                    <w:t>炉、烧熔炉、覆膜机</w:t>
                  </w:r>
                  <w:r>
                    <w:rPr>
                      <w:color w:val="auto"/>
                    </w:rPr>
                    <w:t>等设备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辅助</w:t>
                  </w:r>
                  <w:r>
                    <w:rPr>
                      <w:color w:val="auto"/>
                    </w:rPr>
                    <w:t>工程</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ascii="Times New Roman" w:hAnsi="Times New Roman" w:eastAsia="宋体" w:cs="Times New Roman"/>
                      <w:color w:val="auto"/>
                      <w:kern w:val="2"/>
                      <w:sz w:val="21"/>
                      <w:szCs w:val="21"/>
                      <w:lang w:val="en-US" w:eastAsia="zh-CN" w:bidi="ar-SA"/>
                    </w:rPr>
                  </w:pPr>
                  <w:r>
                    <w:rPr>
                      <w:rFonts w:hint="eastAsia"/>
                      <w:color w:val="auto"/>
                    </w:rPr>
                    <w:t>办公区</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主要用于</w:t>
                  </w:r>
                  <w:r>
                    <w:rPr>
                      <w:rFonts w:hint="eastAsia"/>
                      <w:color w:val="auto"/>
                    </w:rPr>
                    <w:t>办公</w:t>
                  </w:r>
                  <w:r>
                    <w:rPr>
                      <w:color w:val="auto"/>
                    </w:rPr>
                    <w:t>、职工休息，不设食堂、</w:t>
                  </w:r>
                  <w:r>
                    <w:rPr>
                      <w:rFonts w:hint="eastAsia"/>
                      <w:color w:val="auto"/>
                      <w:lang w:val="en-US" w:eastAsia="zh-CN"/>
                    </w:rPr>
                    <w:t>宿舍和</w:t>
                  </w:r>
                  <w:r>
                    <w:rPr>
                      <w:color w:val="auto"/>
                    </w:rPr>
                    <w:t>浴室</w:t>
                  </w:r>
                  <w:r>
                    <w:rPr>
                      <w:rFonts w:hint="eastAsia"/>
                      <w:color w:val="auto"/>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储运工程</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olor w:val="auto"/>
                    </w:rPr>
                    <w:t>库房</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位于生产车间生产区一层，</w:t>
                  </w:r>
                  <w:r>
                    <w:rPr>
                      <w:rFonts w:hint="eastAsia"/>
                      <w:color w:val="auto"/>
                    </w:rPr>
                    <w:t>用于</w:t>
                  </w:r>
                  <w:r>
                    <w:rPr>
                      <w:rFonts w:hint="eastAsia"/>
                      <w:color w:val="auto"/>
                      <w:lang w:val="en-US" w:eastAsia="zh-CN"/>
                    </w:rPr>
                    <w:t>临时存放原料及成品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危废间</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lang w:val="en-US" w:eastAsia="zh-CN"/>
                    </w:rPr>
                    <w:t>位于生产车间生产区一层，</w:t>
                  </w:r>
                  <w:r>
                    <w:rPr>
                      <w:rFonts w:hint="eastAsia"/>
                      <w:color w:val="auto"/>
                    </w:rPr>
                    <w:t>用于</w:t>
                  </w:r>
                  <w:r>
                    <w:rPr>
                      <w:color w:val="auto"/>
                    </w:rPr>
                    <w:t>储存</w:t>
                  </w:r>
                  <w:r>
                    <w:rPr>
                      <w:rFonts w:hint="eastAsia"/>
                      <w:color w:val="auto"/>
                      <w:lang w:val="en-US" w:eastAsia="zh-CN"/>
                    </w:rPr>
                    <w:t>生产过程产生的</w:t>
                  </w:r>
                  <w:r>
                    <w:rPr>
                      <w:color w:val="auto"/>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eastAsia="宋体" w:cs="Times New Roman"/>
                      <w:color w:val="auto"/>
                      <w:kern w:val="1"/>
                      <w:sz w:val="21"/>
                      <w:szCs w:val="21"/>
                      <w:lang w:val="en-US" w:eastAsia="zh-CN" w:bidi="ar-SA"/>
                    </w:rPr>
                  </w:pPr>
                  <w:r>
                    <w:rPr>
                      <w:rFonts w:hint="eastAsia"/>
                      <w:color w:val="auto"/>
                      <w:lang w:val="en-US" w:eastAsia="zh-CN"/>
                    </w:rPr>
                    <w:t>原料、成品储存区</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1"/>
                      <w:sz w:val="21"/>
                      <w:szCs w:val="21"/>
                      <w:lang w:val="en-US" w:eastAsia="zh-CN" w:bidi="ar-SA"/>
                    </w:rPr>
                  </w:pPr>
                  <w:r>
                    <w:rPr>
                      <w:rFonts w:hint="eastAsia"/>
                      <w:color w:val="auto"/>
                      <w:lang w:val="en-US" w:eastAsia="zh-CN"/>
                    </w:rPr>
                    <w:t>位于生产车间生产区二层，用于原料及成品储存，并在东北侧设置危险品储存区，用于储存电极银浆、镀膜液、润滑油、氢氧化钠等，在西北侧设置一般固废储存区，用于储存生产过程产生的一般工业固体废物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公用工程</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供水</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供电</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当地电网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供暖</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生产车间</w:t>
                  </w:r>
                  <w:r>
                    <w:rPr>
                      <w:color w:val="auto"/>
                    </w:rPr>
                    <w:t>不设供暖设施，办公用房冬季采用</w:t>
                  </w:r>
                  <w:r>
                    <w:rPr>
                      <w:rFonts w:hint="eastAsia"/>
                      <w:color w:val="auto"/>
                      <w:lang w:val="en-US" w:eastAsia="zh-CN"/>
                    </w:rPr>
                    <w:t>单体</w:t>
                  </w:r>
                  <w:r>
                    <w:rPr>
                      <w:color w:val="auto"/>
                    </w:rPr>
                    <w:t>空调供暖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color w:val="auto"/>
                      <w:lang w:val="en-US" w:eastAsia="zh-CN"/>
                    </w:rPr>
                    <w:t>供热</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烘干炉、烧熔炉均为电加热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环保</w:t>
                  </w:r>
                  <w:r>
                    <w:rPr>
                      <w:color w:val="auto"/>
                    </w:rPr>
                    <w:t>工程</w:t>
                  </w: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废气</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1.镀膜</w:t>
                  </w:r>
                  <w:r>
                    <w:rPr>
                      <w:color w:val="auto"/>
                    </w:rPr>
                    <w:t>过程废气</w:t>
                  </w:r>
                  <w:r>
                    <w:rPr>
                      <w:rFonts w:hint="eastAsia"/>
                      <w:color w:val="auto"/>
                    </w:rPr>
                    <w:t>：镀膜机</w:t>
                  </w:r>
                  <w:r>
                    <w:rPr>
                      <w:color w:val="auto"/>
                    </w:rPr>
                    <w:t>采取封闭措施，并在设备上方设置引风管道，</w:t>
                  </w:r>
                  <w:r>
                    <w:rPr>
                      <w:rFonts w:hint="eastAsia"/>
                      <w:color w:val="auto"/>
                    </w:rPr>
                    <w:t>通过</w:t>
                  </w:r>
                  <w:r>
                    <w:rPr>
                      <w:color w:val="auto"/>
                    </w:rPr>
                    <w:t>风机将废气引入</w:t>
                  </w:r>
                  <w:r>
                    <w:rPr>
                      <w:rFonts w:hint="eastAsia"/>
                      <w:color w:val="auto"/>
                    </w:rPr>
                    <w:t>1套</w:t>
                  </w:r>
                  <w:r>
                    <w:rPr>
                      <w:color w:val="auto"/>
                    </w:rPr>
                    <w:t>三级串联的碱液喷淋塔进行净化处理</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2.烘干</w:t>
                  </w:r>
                  <w:r>
                    <w:rPr>
                      <w:rFonts w:hint="eastAsia"/>
                      <w:color w:val="auto"/>
                      <w:lang w:val="en-US" w:eastAsia="zh-CN"/>
                    </w:rPr>
                    <w:t>及</w:t>
                  </w:r>
                  <w:r>
                    <w:rPr>
                      <w:color w:val="auto"/>
                    </w:rPr>
                    <w:t>烧结还原过程废气：</w:t>
                  </w:r>
                  <w:r>
                    <w:rPr>
                      <w:rFonts w:hint="eastAsia"/>
                      <w:color w:val="auto"/>
                    </w:rPr>
                    <w:t>烘干</w:t>
                  </w:r>
                  <w:r>
                    <w:rPr>
                      <w:color w:val="auto"/>
                    </w:rPr>
                    <w:t>和烧结还原过程</w:t>
                  </w:r>
                  <w:r>
                    <w:rPr>
                      <w:rFonts w:hint="eastAsia"/>
                      <w:color w:val="auto"/>
                      <w:lang w:val="en-US" w:eastAsia="zh-CN"/>
                    </w:rPr>
                    <w:t>设备密闭</w:t>
                  </w:r>
                  <w:r>
                    <w:rPr>
                      <w:color w:val="auto"/>
                    </w:rPr>
                    <w:t>，在各烘干</w:t>
                  </w:r>
                  <w:r>
                    <w:rPr>
                      <w:rFonts w:hint="eastAsia"/>
                      <w:color w:val="auto"/>
                      <w:lang w:val="en-US" w:eastAsia="zh-CN"/>
                    </w:rPr>
                    <w:t>炉</w:t>
                  </w:r>
                  <w:r>
                    <w:rPr>
                      <w:color w:val="auto"/>
                    </w:rPr>
                    <w:t>和烧熔炉的出口上方设置集气罩，通过风机将废气引入</w:t>
                  </w:r>
                  <w:r>
                    <w:rPr>
                      <w:rFonts w:hint="eastAsia"/>
                      <w:color w:val="auto"/>
                    </w:rPr>
                    <w:t>1套活性炭吸附装置进行净化</w:t>
                  </w:r>
                  <w:r>
                    <w:rPr>
                      <w:color w:val="auto"/>
                    </w:rPr>
                    <w:t>处理</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3.镀膜过程废气与烘干</w:t>
                  </w:r>
                  <w:r>
                    <w:rPr>
                      <w:rFonts w:hint="eastAsia"/>
                      <w:color w:val="auto"/>
                      <w:lang w:val="en-US" w:eastAsia="zh-CN"/>
                    </w:rPr>
                    <w:t>及</w:t>
                  </w:r>
                  <w:r>
                    <w:rPr>
                      <w:rFonts w:hint="eastAsia"/>
                      <w:color w:val="auto"/>
                    </w:rPr>
                    <w:t>烧结还原过程废气经净化设备处理后共用1根30m高排气筒排放。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废水</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1.镀膜</w:t>
                  </w:r>
                  <w:r>
                    <w:rPr>
                      <w:color w:val="auto"/>
                    </w:rPr>
                    <w:t>废气处理过程废水</w:t>
                  </w:r>
                  <w:r>
                    <w:rPr>
                      <w:rFonts w:hint="eastAsia"/>
                      <w:color w:val="auto"/>
                    </w:rPr>
                    <w:t>更换后采用</w:t>
                  </w:r>
                  <w:r>
                    <w:rPr>
                      <w:color w:val="auto"/>
                    </w:rPr>
                    <w:t>耐腐蚀防</w:t>
                  </w:r>
                  <w:r>
                    <w:rPr>
                      <w:rFonts w:hint="eastAsia"/>
                      <w:color w:val="auto"/>
                      <w:lang w:val="en-US" w:eastAsia="zh-CN"/>
                    </w:rPr>
                    <w:t>渗</w:t>
                  </w:r>
                  <w:r>
                    <w:rPr>
                      <w:color w:val="auto"/>
                    </w:rPr>
                    <w:t>漏的容器</w:t>
                  </w:r>
                  <w:r>
                    <w:rPr>
                      <w:rFonts w:hint="eastAsia"/>
                      <w:color w:val="auto"/>
                    </w:rPr>
                    <w:t>集中</w:t>
                  </w:r>
                  <w:r>
                    <w:rPr>
                      <w:color w:val="auto"/>
                    </w:rPr>
                    <w:t>收集</w:t>
                  </w:r>
                  <w:r>
                    <w:rPr>
                      <w:rFonts w:hint="eastAsia"/>
                      <w:color w:val="auto"/>
                    </w:rPr>
                    <w:t>，</w:t>
                  </w:r>
                  <w:r>
                    <w:rPr>
                      <w:rFonts w:hint="eastAsia"/>
                      <w:color w:val="auto"/>
                      <w:lang w:val="en-US" w:eastAsia="zh-CN"/>
                    </w:rPr>
                    <w:t>暂存于危废间，定期委托有资质单位运走处置</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color w:val="auto"/>
                    </w:rPr>
                    <w:t>2.</w:t>
                  </w:r>
                  <w:r>
                    <w:rPr>
                      <w:rFonts w:hint="eastAsia"/>
                      <w:color w:val="auto"/>
                    </w:rPr>
                    <w:t>基体镀膜冷却过程废水循环使用，不外排；</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3.职工</w:t>
                  </w:r>
                  <w:r>
                    <w:rPr>
                      <w:color w:val="auto"/>
                    </w:rPr>
                    <w:t>生活</w:t>
                  </w:r>
                  <w:r>
                    <w:rPr>
                      <w:rFonts w:hint="eastAsia"/>
                      <w:color w:val="auto"/>
                      <w:lang w:val="en-US" w:eastAsia="zh-CN"/>
                    </w:rPr>
                    <w:t>污</w:t>
                  </w:r>
                  <w:r>
                    <w:rPr>
                      <w:color w:val="auto"/>
                    </w:rPr>
                    <w:t>水</w:t>
                  </w:r>
                  <w:r>
                    <w:rPr>
                      <w:rFonts w:hint="eastAsia"/>
                      <w:color w:val="auto"/>
                    </w:rPr>
                    <w:t>经</w:t>
                  </w:r>
                  <w:r>
                    <w:rPr>
                      <w:color w:val="auto"/>
                    </w:rPr>
                    <w:t>市政污水管网排入</w:t>
                  </w:r>
                  <w:r>
                    <w:rPr>
                      <w:rFonts w:hint="eastAsia"/>
                      <w:color w:val="auto"/>
                      <w:lang w:val="en-US" w:eastAsia="zh-CN"/>
                    </w:rPr>
                    <w:t>西</w:t>
                  </w:r>
                  <w:r>
                    <w:rPr>
                      <w:color w:val="auto"/>
                    </w:rPr>
                    <w:t>郊污水处理厂统一处理</w:t>
                  </w: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噪声</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选用</w:t>
                  </w:r>
                  <w:r>
                    <w:rPr>
                      <w:color w:val="auto"/>
                    </w:rPr>
                    <w:t>低噪声设备、厂房隔声</w:t>
                  </w:r>
                  <w:r>
                    <w:rPr>
                      <w:rFonts w:hint="eastAsia"/>
                      <w:color w:val="auto"/>
                    </w:rPr>
                    <w:t>、</w:t>
                  </w:r>
                  <w:r>
                    <w:rPr>
                      <w:color w:val="auto"/>
                    </w:rPr>
                    <w:t>基础减振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固废</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镀膜液包装桶、电极银浆包装罐在原料使用后</w:t>
                  </w:r>
                  <w:r>
                    <w:rPr>
                      <w:rFonts w:hint="eastAsia"/>
                      <w:color w:val="auto"/>
                      <w:lang w:val="en-US" w:eastAsia="zh-CN"/>
                    </w:rPr>
                    <w:t>暂存于危废间，定期由厂家回收，作为</w:t>
                  </w:r>
                  <w:r>
                    <w:rPr>
                      <w:rFonts w:hint="eastAsia"/>
                      <w:color w:val="auto"/>
                    </w:rPr>
                    <w:t>镀膜液</w:t>
                  </w:r>
                  <w:r>
                    <w:rPr>
                      <w:rFonts w:hint="eastAsia"/>
                      <w:color w:val="auto"/>
                      <w:lang w:eastAsia="zh-CN"/>
                    </w:rPr>
                    <w:t>、</w:t>
                  </w:r>
                  <w:r>
                    <w:rPr>
                      <w:rFonts w:hint="eastAsia"/>
                      <w:color w:val="auto"/>
                    </w:rPr>
                    <w:t>电极银浆</w:t>
                  </w:r>
                  <w:r>
                    <w:rPr>
                      <w:rFonts w:hint="eastAsia"/>
                      <w:color w:val="auto"/>
                      <w:lang w:val="en-US" w:eastAsia="zh-CN"/>
                    </w:rPr>
                    <w:t>包装材料</w:t>
                  </w:r>
                  <w:r>
                    <w:rPr>
                      <w:rFonts w:hint="eastAsia"/>
                      <w:color w:val="auto"/>
                      <w:lang w:eastAsia="zh-CN"/>
                    </w:rPr>
                    <w:t>，</w:t>
                  </w:r>
                  <w:r>
                    <w:rPr>
                      <w:rFonts w:hint="eastAsia"/>
                      <w:color w:val="auto"/>
                      <w:lang w:val="en-US" w:eastAsia="zh-CN"/>
                    </w:rPr>
                    <w:t>循环使用</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废</w:t>
                  </w:r>
                  <w:r>
                    <w:rPr>
                      <w:color w:val="auto"/>
                    </w:rPr>
                    <w:t>活性炭</w:t>
                  </w:r>
                  <w:r>
                    <w:rPr>
                      <w:rFonts w:hint="eastAsia"/>
                      <w:color w:val="auto"/>
                    </w:rPr>
                    <w:t>使用专用容器收集，</w:t>
                  </w:r>
                  <w:r>
                    <w:rPr>
                      <w:color w:val="auto"/>
                    </w:rPr>
                    <w:t>暂存危废间，定期交有资质单位处置；</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废</w:t>
                  </w:r>
                  <w:r>
                    <w:rPr>
                      <w:rFonts w:hint="eastAsia"/>
                      <w:color w:val="auto"/>
                      <w:lang w:val="en-US" w:eastAsia="zh-CN"/>
                    </w:rPr>
                    <w:t>润滑</w:t>
                  </w:r>
                  <w:r>
                    <w:rPr>
                      <w:rFonts w:hint="eastAsia"/>
                      <w:color w:val="auto"/>
                    </w:rPr>
                    <w:t>油</w:t>
                  </w:r>
                  <w:r>
                    <w:rPr>
                      <w:color w:val="auto"/>
                    </w:rPr>
                    <w:t>使用原包装桶收集后，密封保存，暂存</w:t>
                  </w:r>
                  <w:r>
                    <w:rPr>
                      <w:rFonts w:hint="eastAsia"/>
                      <w:color w:val="auto"/>
                    </w:rPr>
                    <w:t>危废间</w:t>
                  </w:r>
                  <w:r>
                    <w:rPr>
                      <w:color w:val="auto"/>
                    </w:rPr>
                    <w:t>，</w:t>
                  </w:r>
                  <w:r>
                    <w:rPr>
                      <w:rFonts w:hint="eastAsia"/>
                      <w:color w:val="auto"/>
                    </w:rPr>
                    <w:t>定期</w:t>
                  </w:r>
                  <w:r>
                    <w:rPr>
                      <w:color w:val="auto"/>
                    </w:rPr>
                    <w:t>交有资质单位处置</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职工生活垃圾集中</w:t>
                  </w:r>
                  <w:r>
                    <w:rPr>
                      <w:color w:val="auto"/>
                    </w:rPr>
                    <w:t>收集，</w:t>
                  </w:r>
                  <w:r>
                    <w:rPr>
                      <w:rFonts w:hint="eastAsia"/>
                      <w:color w:val="auto"/>
                    </w:rPr>
                    <w:t>定期</w:t>
                  </w:r>
                  <w:r>
                    <w:rPr>
                      <w:color w:val="auto"/>
                    </w:rPr>
                    <w:t>送环卫部门指定地点统一处理。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0"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33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防渗</w:t>
                  </w:r>
                </w:p>
              </w:tc>
              <w:tc>
                <w:tcPr>
                  <w:tcW w:w="56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危废间</w:t>
                  </w:r>
                  <w:r>
                    <w:rPr>
                      <w:color w:val="auto"/>
                    </w:rPr>
                    <w:t>地面及裙角采用</w:t>
                  </w:r>
                  <w:r>
                    <w:rPr>
                      <w:rFonts w:hint="eastAsia"/>
                      <w:color w:val="auto"/>
                    </w:rPr>
                    <w:t>2mm厚高强度</w:t>
                  </w:r>
                  <w:r>
                    <w:rPr>
                      <w:color w:val="auto"/>
                    </w:rPr>
                    <w:t>聚乙烯（</w:t>
                  </w:r>
                  <w:r>
                    <w:rPr>
                      <w:rFonts w:hint="eastAsia"/>
                      <w:color w:val="auto"/>
                    </w:rPr>
                    <w:t>HDPE</w:t>
                  </w:r>
                  <w:r>
                    <w:rPr>
                      <w:color w:val="auto"/>
                    </w:rPr>
                    <w:t>）</w:t>
                  </w:r>
                  <w:r>
                    <w:rPr>
                      <w:rFonts w:hint="eastAsia"/>
                      <w:color w:val="auto"/>
                    </w:rPr>
                    <w:t>防渗膜</w:t>
                  </w:r>
                  <w:r>
                    <w:rPr>
                      <w:color w:val="auto"/>
                    </w:rPr>
                    <w:t>进行防腐防渗处理，渗透系数≤1.0×10</w:t>
                  </w:r>
                  <w:r>
                    <w:rPr>
                      <w:color w:val="auto"/>
                      <w:vertAlign w:val="superscript"/>
                    </w:rPr>
                    <w:t>-10</w:t>
                  </w:r>
                  <w:r>
                    <w:rPr>
                      <w:color w:val="auto"/>
                    </w:rPr>
                    <w:t>cm/s</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库房内镀膜液、电极银浆堆存区地面及围堰采用2mm</w:t>
                  </w:r>
                  <w:r>
                    <w:rPr>
                      <w:rFonts w:hint="eastAsia"/>
                      <w:color w:val="auto"/>
                      <w:lang w:val="en-US" w:eastAsia="zh-CN"/>
                    </w:rPr>
                    <w:t>厚</w:t>
                  </w:r>
                  <w:r>
                    <w:rPr>
                      <w:rFonts w:hint="eastAsia"/>
                      <w:color w:val="auto"/>
                    </w:rPr>
                    <w:t>高强度聚乙烯（HDPE）防渗膜进行防腐防渗处理，渗透系数</w:t>
                  </w:r>
                  <w:r>
                    <w:rPr>
                      <w:color w:val="auto"/>
                    </w:rPr>
                    <w:t>≤1.0×10</w:t>
                  </w:r>
                  <w:r>
                    <w:rPr>
                      <w:color w:val="auto"/>
                      <w:vertAlign w:val="superscript"/>
                    </w:rPr>
                    <w:t>-10</w:t>
                  </w:r>
                  <w:r>
                    <w:rPr>
                      <w:color w:val="auto"/>
                    </w:rPr>
                    <w:t>cm/s</w:t>
                  </w:r>
                  <w:r>
                    <w:rPr>
                      <w:rFonts w:hint="eastAsia"/>
                      <w:color w:val="auto"/>
                    </w:rPr>
                    <w:t>；</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各污水管道均按照“冀建材[2015]5号”中的相关要求，排水各环节优先使用新型塑料管道；</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碱液喷淋塔循环水箱采用封闭的碳钢结构，内部涂刷防腐材料；</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基体镀膜冷却用水储存于塑料箱中，防止生产过程中发生泡、冒、滴、漏现象。</w:t>
                  </w:r>
                </w:p>
                <w:p>
                  <w:pPr>
                    <w:pStyle w:val="32"/>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color w:val="auto"/>
                    </w:rPr>
                  </w:pPr>
                  <w:r>
                    <w:rPr>
                      <w:rFonts w:hint="eastAsia"/>
                      <w:color w:val="auto"/>
                    </w:rPr>
                    <w:t>厂区地面</w:t>
                  </w:r>
                  <w:r>
                    <w:rPr>
                      <w:color w:val="auto"/>
                    </w:rPr>
                    <w:t>进行水泥硬化处理</w:t>
                  </w:r>
                  <w:r>
                    <w:rPr>
                      <w:rFonts w:hint="eastAsia"/>
                      <w:color w:val="auto"/>
                    </w:rPr>
                    <w:t>。</w:t>
                  </w:r>
                </w:p>
              </w:tc>
            </w:tr>
          </w:tbl>
          <w:p>
            <w:pPr>
              <w:bidi w:val="0"/>
              <w:rPr>
                <w:rFonts w:hint="default"/>
                <w:color w:val="auto"/>
                <w:sz w:val="24"/>
                <w:szCs w:val="24"/>
                <w:highlight w:val="none"/>
                <w:lang w:val="en-US"/>
              </w:rPr>
            </w:pPr>
            <w:r>
              <w:rPr>
                <w:rFonts w:hint="eastAsia"/>
                <w:color w:val="auto"/>
                <w:sz w:val="24"/>
                <w:szCs w:val="24"/>
                <w:highlight w:val="none"/>
                <w:lang w:val="en-US" w:eastAsia="zh-CN"/>
              </w:rPr>
              <w:t>4、主要产品及产能</w:t>
            </w:r>
            <w:r>
              <w:rPr>
                <w:rFonts w:hint="default"/>
                <w:color w:val="auto"/>
                <w:sz w:val="24"/>
                <w:szCs w:val="24"/>
                <w:highlight w:val="none"/>
              </w:rPr>
              <w:t>：</w:t>
            </w:r>
            <w:r>
              <w:rPr>
                <w:rFonts w:hint="eastAsia"/>
                <w:color w:val="auto"/>
                <w:sz w:val="24"/>
                <w:szCs w:val="24"/>
                <w:highlight w:val="none"/>
                <w:lang w:val="en-US" w:eastAsia="zh-CN"/>
              </w:rPr>
              <w:t>现有工程主要产品为石墨烯电发热元件（石墨烯电发热体），</w:t>
            </w:r>
            <w:r>
              <w:rPr>
                <w:color w:val="auto"/>
                <w:kern w:val="0"/>
                <w:sz w:val="24"/>
                <w:highlight w:val="none"/>
                <w:lang w:val="zh-CN"/>
              </w:rPr>
              <w:t>年产</w:t>
            </w:r>
            <w:r>
              <w:rPr>
                <w:rFonts w:hint="eastAsia"/>
                <w:color w:val="auto"/>
                <w:sz w:val="24"/>
                <w:szCs w:val="24"/>
                <w:highlight w:val="none"/>
                <w:lang w:val="en-US" w:eastAsia="zh-CN"/>
              </w:rPr>
              <w:t>石墨烯电发热元件8万套。</w:t>
            </w:r>
          </w:p>
          <w:p>
            <w:pPr>
              <w:bidi w:val="0"/>
              <w:rPr>
                <w:rFonts w:hint="default"/>
                <w:color w:val="auto"/>
                <w:sz w:val="24"/>
                <w:szCs w:val="24"/>
                <w:highlight w:val="none"/>
              </w:rPr>
            </w:pPr>
            <w:r>
              <w:rPr>
                <w:rFonts w:hint="eastAsia"/>
                <w:color w:val="auto"/>
                <w:sz w:val="24"/>
                <w:szCs w:val="24"/>
                <w:highlight w:val="none"/>
                <w:lang w:val="en-US" w:eastAsia="zh-CN"/>
              </w:rPr>
              <w:t>5、</w:t>
            </w:r>
            <w:r>
              <w:rPr>
                <w:rFonts w:hint="default"/>
                <w:color w:val="auto"/>
                <w:sz w:val="24"/>
                <w:szCs w:val="24"/>
                <w:highlight w:val="none"/>
              </w:rPr>
              <w:t>工作制度及</w:t>
            </w:r>
            <w:r>
              <w:rPr>
                <w:rFonts w:hint="eastAsia"/>
                <w:color w:val="auto"/>
                <w:sz w:val="24"/>
                <w:szCs w:val="24"/>
                <w:highlight w:val="none"/>
                <w:lang w:val="en-US" w:eastAsia="zh-CN"/>
              </w:rPr>
              <w:t>劳动</w:t>
            </w:r>
            <w:r>
              <w:rPr>
                <w:rFonts w:hint="default"/>
                <w:color w:val="auto"/>
                <w:sz w:val="24"/>
                <w:szCs w:val="24"/>
                <w:highlight w:val="none"/>
              </w:rPr>
              <w:t>定员：</w:t>
            </w:r>
            <w:r>
              <w:rPr>
                <w:rFonts w:hint="eastAsia"/>
                <w:color w:val="auto"/>
                <w:sz w:val="24"/>
                <w:szCs w:val="24"/>
                <w:highlight w:val="none"/>
                <w:lang w:val="en-US" w:eastAsia="zh-CN"/>
              </w:rPr>
              <w:t>现有工程</w:t>
            </w:r>
            <w:r>
              <w:rPr>
                <w:rFonts w:hint="default"/>
                <w:color w:val="auto"/>
                <w:sz w:val="24"/>
                <w:szCs w:val="24"/>
                <w:highlight w:val="none"/>
              </w:rPr>
              <w:t>年工作</w:t>
            </w:r>
            <w:r>
              <w:rPr>
                <w:rFonts w:hint="eastAsia"/>
                <w:color w:val="auto"/>
                <w:sz w:val="24"/>
                <w:szCs w:val="24"/>
                <w:highlight w:val="none"/>
                <w:lang w:val="en-US" w:eastAsia="zh-CN"/>
              </w:rPr>
              <w:t>300</w:t>
            </w:r>
            <w:r>
              <w:rPr>
                <w:rFonts w:hint="default"/>
                <w:color w:val="auto"/>
                <w:sz w:val="24"/>
                <w:szCs w:val="24"/>
                <w:highlight w:val="none"/>
              </w:rPr>
              <w:t>天，每天</w:t>
            </w:r>
            <w:r>
              <w:rPr>
                <w:rFonts w:hint="eastAsia"/>
                <w:color w:val="auto"/>
                <w:sz w:val="24"/>
                <w:szCs w:val="24"/>
                <w:highlight w:val="none"/>
                <w:lang w:val="en-US" w:eastAsia="zh-CN"/>
              </w:rPr>
              <w:t>3</w:t>
            </w:r>
            <w:r>
              <w:rPr>
                <w:rFonts w:hint="default"/>
                <w:color w:val="auto"/>
                <w:sz w:val="24"/>
                <w:szCs w:val="24"/>
                <w:highlight w:val="none"/>
              </w:rPr>
              <w:t>班，每班</w:t>
            </w:r>
            <w:r>
              <w:rPr>
                <w:rFonts w:hint="eastAsia"/>
                <w:color w:val="auto"/>
                <w:sz w:val="24"/>
                <w:szCs w:val="24"/>
                <w:highlight w:val="none"/>
                <w:lang w:val="en-US" w:eastAsia="zh-CN"/>
              </w:rPr>
              <w:t>8h，其中镀膜、烘干、烧结还原工序年运行2400h，</w:t>
            </w:r>
            <w:r>
              <w:rPr>
                <w:rFonts w:hint="default"/>
                <w:color w:val="auto"/>
                <w:sz w:val="24"/>
                <w:szCs w:val="24"/>
                <w:highlight w:val="none"/>
              </w:rPr>
              <w:t>劳动定员</w:t>
            </w:r>
            <w:r>
              <w:rPr>
                <w:rFonts w:hint="eastAsia"/>
                <w:color w:val="auto"/>
                <w:sz w:val="24"/>
                <w:szCs w:val="24"/>
                <w:highlight w:val="none"/>
                <w:lang w:val="en-US" w:eastAsia="zh-CN"/>
              </w:rPr>
              <w:t>30人</w:t>
            </w:r>
            <w:r>
              <w:rPr>
                <w:rFonts w:hint="default"/>
                <w:color w:val="auto"/>
                <w:sz w:val="24"/>
                <w:szCs w:val="24"/>
                <w:highlight w:val="none"/>
              </w:rPr>
              <w:t>。</w:t>
            </w:r>
          </w:p>
          <w:p>
            <w:pPr>
              <w:bidi w:val="0"/>
              <w:rPr>
                <w:rFonts w:hint="default"/>
                <w:color w:val="auto"/>
                <w:sz w:val="24"/>
                <w:szCs w:val="24"/>
                <w:highlight w:val="none"/>
              </w:rPr>
            </w:pPr>
            <w:r>
              <w:rPr>
                <w:rFonts w:hint="eastAsia"/>
                <w:color w:val="auto"/>
                <w:sz w:val="24"/>
                <w:szCs w:val="24"/>
                <w:highlight w:val="none"/>
                <w:lang w:val="en-US" w:eastAsia="zh-CN"/>
              </w:rPr>
              <w:t>6、</w:t>
            </w:r>
            <w:r>
              <w:rPr>
                <w:rFonts w:hint="default"/>
                <w:color w:val="auto"/>
                <w:sz w:val="24"/>
                <w:szCs w:val="24"/>
                <w:highlight w:val="none"/>
              </w:rPr>
              <w:t>主要原辅材料及能源消耗见下表。</w:t>
            </w:r>
          </w:p>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表</w:t>
            </w:r>
            <w:r>
              <w:rPr>
                <w:rFonts w:hint="default" w:ascii="Times New Roman" w:hAnsi="Times New Roman" w:cs="Times New Roman"/>
                <w:b/>
                <w:color w:val="auto"/>
                <w:kern w:val="0"/>
                <w:sz w:val="21"/>
                <w:szCs w:val="21"/>
                <w:highlight w:val="none"/>
                <w:lang w:val="en-US" w:eastAsia="zh-CN"/>
              </w:rPr>
              <w:t>1</w:t>
            </w:r>
            <w:r>
              <w:rPr>
                <w:rFonts w:hint="eastAsia" w:cs="Times New Roman"/>
                <w:b/>
                <w:color w:val="auto"/>
                <w:kern w:val="0"/>
                <w:sz w:val="21"/>
                <w:szCs w:val="21"/>
                <w:highlight w:val="none"/>
                <w:lang w:val="en-US" w:eastAsia="zh-CN"/>
              </w:rPr>
              <w:t>0</w:t>
            </w:r>
            <w:r>
              <w:rPr>
                <w:rFonts w:hint="eastAsia" w:ascii="宋体" w:hAnsi="宋体" w:cs="宋体"/>
                <w:b/>
                <w:color w:val="auto"/>
                <w:kern w:val="0"/>
                <w:sz w:val="21"/>
                <w:szCs w:val="21"/>
                <w:highlight w:val="none"/>
                <w:lang w:val="en-US" w:eastAsia="zh-CN"/>
              </w:rPr>
              <w:t xml:space="preserve">  </w:t>
            </w:r>
            <w:r>
              <w:rPr>
                <w:rFonts w:hint="eastAsia" w:ascii="宋体" w:hAnsi="宋体" w:cs="宋体"/>
                <w:b/>
                <w:color w:val="auto"/>
                <w:kern w:val="0"/>
                <w:sz w:val="21"/>
                <w:szCs w:val="21"/>
                <w:highlight w:val="none"/>
              </w:rPr>
              <w:t>现有工程主要原辅材料消耗一览表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553"/>
              <w:gridCol w:w="1682"/>
              <w:gridCol w:w="1064"/>
              <w:gridCol w:w="925"/>
              <w:gridCol w:w="2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序号</w:t>
                  </w: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名称</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规格型号</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单位</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消耗量</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石英管</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长度50cm</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万根</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val="en-US" w:eastAsia="zh-CN"/>
                    </w:rPr>
                    <w:t>25</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云母板</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万片</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5</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rPr>
                  </w:pPr>
                  <w:r>
                    <w:rPr>
                      <w:rFonts w:hint="eastAsia"/>
                      <w:color w:val="auto"/>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硅胶套</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厚度60mm</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万个</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30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rPr>
                  </w:pPr>
                  <w:r>
                    <w:rPr>
                      <w:rFonts w:hint="eastAsia"/>
                      <w:color w:val="auto"/>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尼龙座</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万套</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8</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color w:val="auto"/>
                    </w:rPr>
                  </w:pPr>
                  <w:r>
                    <w:rPr>
                      <w:rFonts w:hint="eastAsia"/>
                      <w:color w:val="auto"/>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电极银浆</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1kg/罐</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val="en-US" w:eastAsia="zh-CN"/>
                    </w:rPr>
                    <w:t>kg/a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50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液体，罐装，</w:t>
                  </w:r>
                  <w:r>
                    <w:rPr>
                      <w:rFonts w:hint="eastAsia"/>
                      <w:color w:val="auto"/>
                      <w:lang w:val="en-US" w:eastAsia="zh-CN"/>
                    </w:rPr>
                    <w:t>主要成分为</w:t>
                  </w:r>
                  <w:r>
                    <w:rPr>
                      <w:rFonts w:hint="eastAsia"/>
                      <w:color w:val="auto"/>
                    </w:rPr>
                    <w:t>银粉（导电填料）、双酚A型环氧树脂（树脂）、酸酐类固化剂、甲基咪唑（促进剂）、乙酸丁酯（稀释剂）、环氧丙烷苄基醚（稀释剂）、钛酸四乙酯（附着力促进剂）聚酰胺蜡（防沉降剂）储存在库房内，可直接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镀膜液</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25kg/桶</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val="en-US" w:eastAsia="zh-CN"/>
                    </w:rPr>
                    <w:t>kg/a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lang w:val="en-US" w:eastAsia="zh-CN"/>
                    </w:rPr>
                  </w:pPr>
                  <w:r>
                    <w:rPr>
                      <w:rFonts w:hint="eastAsia"/>
                      <w:color w:val="auto"/>
                      <w:lang w:val="en-US" w:eastAsia="zh-CN"/>
                    </w:rPr>
                    <w:t>100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液体，桶装，成分</w:t>
                  </w:r>
                  <w:r>
                    <w:rPr>
                      <w:color w:val="auto"/>
                    </w:rPr>
                    <w:t>为醋酸锌、醋酸铝、氯化镍、氯化钾、氢氟酸和酒精</w:t>
                  </w:r>
                  <w:r>
                    <w:rPr>
                      <w:rFonts w:hint="eastAsia"/>
                      <w:color w:val="auto"/>
                    </w:rPr>
                    <w:t>，购买已配制好的成品，储存在库房内，可直接用于生产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石墨烯</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kg</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100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塑料薄膜</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eastAsia="zh-CN"/>
                    </w:rPr>
                    <w:t>（</w:t>
                  </w:r>
                  <w:r>
                    <w:rPr>
                      <w:rFonts w:hint="eastAsia"/>
                      <w:color w:val="auto"/>
                    </w:rPr>
                    <w:t>520mm</w:t>
                  </w:r>
                  <w:r>
                    <w:rPr>
                      <w:rFonts w:hint="default" w:ascii="Times New Roman" w:hAnsi="Times New Roman" w:cs="Times New Roman"/>
                      <w:color w:val="auto"/>
                    </w:rPr>
                    <w:t>×</w:t>
                  </w:r>
                  <w:r>
                    <w:rPr>
                      <w:rFonts w:hint="eastAsia"/>
                      <w:color w:val="auto"/>
                    </w:rPr>
                    <w:t>33m</w:t>
                  </w:r>
                  <w:r>
                    <w:rPr>
                      <w:rFonts w:hint="default" w:ascii="Times New Roman" w:hAnsi="Times New Roman" w:cs="Times New Roman"/>
                      <w:color w:val="auto"/>
                    </w:rPr>
                    <w:t>×</w:t>
                  </w:r>
                  <w:r>
                    <w:rPr>
                      <w:rFonts w:hint="eastAsia"/>
                      <w:color w:val="auto"/>
                    </w:rPr>
                    <w:t>0.005mm</w:t>
                  </w:r>
                  <w:r>
                    <w:rPr>
                      <w:rFonts w:hint="eastAsia"/>
                      <w:color w:val="auto"/>
                      <w:lang w:eastAsia="zh-CN"/>
                    </w:rPr>
                    <w:t>）</w:t>
                  </w:r>
                  <w:r>
                    <w:rPr>
                      <w:rFonts w:hint="eastAsia"/>
                      <w:color w:val="auto"/>
                      <w:lang w:val="en-US" w:eastAsia="zh-CN"/>
                    </w:rPr>
                    <w:t>/</w:t>
                  </w:r>
                  <w:r>
                    <w:rPr>
                      <w:rFonts w:hint="eastAsia"/>
                      <w:color w:val="auto"/>
                    </w:rPr>
                    <w:t>卷</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卷</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3</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卷装，用于云母板石墨烯电发热元件的保护膜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零件（螺丝等）</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lang w:val="en-US" w:eastAsia="zh-CN"/>
                    </w:rPr>
                  </w:pPr>
                  <w:r>
                    <w:rPr>
                      <w:rFonts w:hint="eastAsia"/>
                      <w:color w:val="auto"/>
                      <w:lang w:val="en-US" w:eastAsia="zh-CN"/>
                    </w:rPr>
                    <w:t>万套/a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eastAsia="zh-CN"/>
                    </w:rPr>
                  </w:pPr>
                  <w:r>
                    <w:rPr>
                      <w:rFonts w:hint="eastAsia"/>
                      <w:color w:val="auto"/>
                      <w:lang w:val="en-US" w:eastAsia="zh-CN"/>
                    </w:rPr>
                    <w:t>8</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氢氧化钠</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25kg/袋</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袋</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4</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袋装，储存在库房内，用于镀膜废气治理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润滑油</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5kg/桶</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lang w:val="en-US" w:eastAsia="zh-CN"/>
                    </w:rPr>
                  </w:pPr>
                  <w:r>
                    <w:rPr>
                      <w:rFonts w:hint="eastAsia"/>
                      <w:color w:val="auto"/>
                      <w:lang w:val="en-US" w:eastAsia="zh-CN"/>
                    </w:rPr>
                    <w:t>kg/a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lang w:val="en-US" w:eastAsia="zh-CN"/>
                    </w:rPr>
                  </w:pPr>
                  <w:r>
                    <w:rPr>
                      <w:rFonts w:hint="eastAsia"/>
                      <w:color w:val="auto"/>
                      <w:lang w:val="en-US" w:eastAsia="zh-CN"/>
                    </w:rPr>
                    <w:t>10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桶装，用于设备保养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color w:val="auto"/>
                      <w:lang w:val="en-US" w:eastAsia="zh-CN"/>
                    </w:rPr>
                    <w:t>活性炭</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lang w:val="en-US" w:eastAsia="zh-CN"/>
                    </w:rPr>
                  </w:pPr>
                  <w:r>
                    <w:rPr>
                      <w:rFonts w:hint="eastAsia"/>
                      <w:color w:val="auto"/>
                      <w:lang w:val="en-US" w:eastAsia="zh-CN"/>
                    </w:rPr>
                    <w:t>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lang w:val="en-US" w:eastAsia="zh-CN"/>
                    </w:rPr>
                  </w:pPr>
                  <w:r>
                    <w:rPr>
                      <w:rFonts w:hint="eastAsia"/>
                      <w:color w:val="auto"/>
                      <w:lang w:val="en-US" w:eastAsia="zh-CN"/>
                    </w:rPr>
                    <w:t>0.1</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eastAsia="宋体"/>
                      <w:color w:val="auto"/>
                      <w:lang w:val="en-US" w:eastAsia="zh-CN"/>
                    </w:rPr>
                  </w:pPr>
                  <w:r>
                    <w:rPr>
                      <w:rFonts w:hint="eastAsia"/>
                      <w:color w:val="auto"/>
                      <w:lang w:val="en-US" w:eastAsia="zh-CN"/>
                    </w:rPr>
                    <w:t>用于活性炭吸附装置更换活性炭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水</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color w:val="auto"/>
                    </w:rPr>
                    <w:t>2</w:t>
                  </w:r>
                  <w:r>
                    <w:rPr>
                      <w:rFonts w:hint="eastAsia"/>
                      <w:color w:val="auto"/>
                    </w:rPr>
                    <w:t>31</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市政管网供应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15" w:type="dxa"/>
                  <w:tcBorders>
                    <w:tl2br w:val="nil"/>
                    <w:tr2bl w:val="nil"/>
                  </w:tcBorders>
                  <w:vAlign w:val="center"/>
                </w:tcPr>
                <w:p>
                  <w:pPr>
                    <w:pStyle w:val="32"/>
                    <w:keepNext w:val="0"/>
                    <w:keepLines w:val="0"/>
                    <w:pageBreakBefore w:val="0"/>
                    <w:widowControl w:val="0"/>
                    <w:numPr>
                      <w:ilvl w:val="0"/>
                      <w:numId w:val="10"/>
                    </w:numPr>
                    <w:kinsoku/>
                    <w:wordWrap/>
                    <w:overflowPunct/>
                    <w:topLinePunct w:val="0"/>
                    <w:autoSpaceDE/>
                    <w:autoSpaceDN/>
                    <w:bidi w:val="0"/>
                    <w:adjustRightInd/>
                    <w:snapToGrid/>
                    <w:spacing w:before="0" w:after="0"/>
                    <w:ind w:left="0" w:leftChars="0" w:right="-24" w:rightChars="-10" w:firstLine="0" w:firstLineChars="0"/>
                    <w:textAlignment w:val="auto"/>
                    <w:rPr>
                      <w:color w:val="auto"/>
                    </w:rPr>
                  </w:pPr>
                </w:p>
              </w:tc>
              <w:tc>
                <w:tcPr>
                  <w:tcW w:w="155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电</w:t>
                  </w:r>
                </w:p>
              </w:tc>
              <w:tc>
                <w:tcPr>
                  <w:tcW w:w="168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eastAsia="宋体"/>
                      <w:color w:val="auto"/>
                      <w:lang w:val="en-US" w:eastAsia="zh-CN"/>
                    </w:rPr>
                  </w:pPr>
                  <w:r>
                    <w:rPr>
                      <w:rFonts w:hint="eastAsia" w:ascii="宋体" w:hAnsi="宋体" w:eastAsia="宋体" w:cs="宋体"/>
                      <w:color w:val="auto"/>
                    </w:rPr>
                    <w:t>－</w:t>
                  </w:r>
                </w:p>
              </w:tc>
              <w:tc>
                <w:tcPr>
                  <w:tcW w:w="106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万k</w:t>
                  </w:r>
                  <w:r>
                    <w:rPr>
                      <w:rFonts w:hint="eastAsia"/>
                      <w:color w:val="auto"/>
                      <w:lang w:val="en-US" w:eastAsia="zh-CN"/>
                    </w:rPr>
                    <w:t>W</w:t>
                  </w:r>
                  <w:r>
                    <w:rPr>
                      <w:rFonts w:hint="eastAsia"/>
                      <w:color w:val="auto"/>
                    </w:rPr>
                    <w:t>h</w:t>
                  </w:r>
                  <w:r>
                    <w:rPr>
                      <w:rFonts w:hint="eastAsia"/>
                      <w:color w:val="auto"/>
                      <w:lang w:val="en-US" w:eastAsia="zh-CN"/>
                    </w:rPr>
                    <w:t>/a</w:t>
                  </w:r>
                </w:p>
              </w:tc>
              <w:tc>
                <w:tcPr>
                  <w:tcW w:w="92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60</w:t>
                  </w:r>
                </w:p>
              </w:tc>
              <w:tc>
                <w:tcPr>
                  <w:tcW w:w="243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color w:val="auto"/>
                    </w:rPr>
                  </w:pPr>
                  <w:r>
                    <w:rPr>
                      <w:rFonts w:hint="eastAsia"/>
                      <w:color w:val="auto"/>
                    </w:rPr>
                    <w:t>当地电网供应</w:t>
                  </w:r>
                </w:p>
              </w:tc>
            </w:tr>
          </w:tbl>
          <w:p>
            <w:pPr>
              <w:bidi w:val="0"/>
              <w:rPr>
                <w:rFonts w:hint="default"/>
                <w:color w:val="auto"/>
                <w:sz w:val="24"/>
                <w:szCs w:val="24"/>
                <w:highlight w:val="none"/>
              </w:rPr>
            </w:pPr>
            <w:r>
              <w:rPr>
                <w:rFonts w:hint="eastAsia"/>
                <w:color w:val="auto"/>
                <w:sz w:val="24"/>
                <w:szCs w:val="24"/>
                <w:highlight w:val="none"/>
                <w:lang w:val="en-US" w:eastAsia="zh-CN"/>
              </w:rPr>
              <w:t>7、现有工程</w:t>
            </w:r>
            <w:r>
              <w:rPr>
                <w:rFonts w:hint="default"/>
                <w:color w:val="auto"/>
                <w:sz w:val="24"/>
                <w:szCs w:val="24"/>
                <w:highlight w:val="none"/>
              </w:rPr>
              <w:t>主要生产设备见下表。</w:t>
            </w:r>
          </w:p>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表</w:t>
            </w:r>
            <w:r>
              <w:rPr>
                <w:rFonts w:hint="default" w:ascii="Times New Roman" w:hAnsi="Times New Roman" w:eastAsia="宋体" w:cs="Times New Roman"/>
                <w:b/>
                <w:color w:val="auto"/>
                <w:kern w:val="0"/>
                <w:sz w:val="21"/>
                <w:szCs w:val="21"/>
                <w:highlight w:val="none"/>
                <w:lang w:val="en-US" w:eastAsia="zh-CN"/>
              </w:rPr>
              <w:t>11</w:t>
            </w:r>
            <w:r>
              <w:rPr>
                <w:rFonts w:hint="default" w:ascii="Times New Roman" w:hAnsi="Times New Roman" w:eastAsia="宋体" w:cs="Times New Roman"/>
                <w:b/>
                <w:color w:val="auto"/>
                <w:kern w:val="0"/>
                <w:sz w:val="21"/>
                <w:szCs w:val="21"/>
                <w:highlight w:val="none"/>
              </w:rPr>
              <w:t xml:space="preserve"> </w:t>
            </w:r>
            <w:r>
              <w:rPr>
                <w:rFonts w:hint="eastAsia" w:ascii="宋体" w:hAnsi="宋体" w:eastAsia="宋体" w:cs="宋体"/>
                <w:b/>
                <w:color w:val="auto"/>
                <w:kern w:val="0"/>
                <w:sz w:val="21"/>
                <w:szCs w:val="21"/>
                <w:highlight w:val="none"/>
              </w:rPr>
              <w:t xml:space="preserve"> </w:t>
            </w:r>
            <w:r>
              <w:rPr>
                <w:rFonts w:hint="eastAsia" w:ascii="宋体" w:hAnsi="宋体" w:cs="宋体"/>
                <w:b/>
                <w:color w:val="auto"/>
                <w:kern w:val="0"/>
                <w:sz w:val="21"/>
                <w:szCs w:val="21"/>
                <w:highlight w:val="none"/>
                <w:lang w:val="en-US" w:eastAsia="zh-CN"/>
              </w:rPr>
              <w:t>现有工程</w:t>
            </w:r>
            <w:r>
              <w:rPr>
                <w:rFonts w:hint="eastAsia" w:ascii="宋体" w:hAnsi="宋体" w:eastAsia="宋体" w:cs="宋体"/>
                <w:b/>
                <w:color w:val="auto"/>
                <w:kern w:val="0"/>
                <w:sz w:val="21"/>
                <w:szCs w:val="21"/>
                <w:highlight w:val="none"/>
              </w:rPr>
              <w:t>主要生产设备及设施一览表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845"/>
              <w:gridCol w:w="1715"/>
              <w:gridCol w:w="1063"/>
              <w:gridCol w:w="1063"/>
              <w:gridCol w:w="1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序号</w:t>
                  </w: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名称</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规格</w:t>
                  </w:r>
                  <w:r>
                    <w:rPr>
                      <w:color w:val="auto"/>
                    </w:rPr>
                    <w:t>型号</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单位</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数量</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喷镀炉</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MX-P</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4</w:t>
                  </w:r>
                </w:p>
              </w:tc>
              <w:tc>
                <w:tcPr>
                  <w:tcW w:w="190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蒸镀炉</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MX-Z</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2</w:t>
                  </w:r>
                </w:p>
              </w:tc>
              <w:tc>
                <w:tcPr>
                  <w:tcW w:w="190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空压机</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BD-10A</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1</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螺杆式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丝印机</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非标定制</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3</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铝合金材质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烘干炉</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MX-HGL</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2</w:t>
                  </w:r>
                </w:p>
              </w:tc>
              <w:tc>
                <w:tcPr>
                  <w:tcW w:w="190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烧熔炉</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MX-HYL</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4</w:t>
                  </w:r>
                </w:p>
              </w:tc>
              <w:tc>
                <w:tcPr>
                  <w:tcW w:w="190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lang w:val="en-US" w:eastAsia="zh-CN"/>
                    </w:rPr>
                    <w:t>自动</w:t>
                  </w:r>
                  <w:r>
                    <w:rPr>
                      <w:rFonts w:hint="eastAsia"/>
                      <w:color w:val="auto"/>
                    </w:rPr>
                    <w:t>覆膜机</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lang w:val="en-US" w:eastAsia="zh-CN"/>
                    </w:rPr>
                    <w:t>FM-C900300YCR</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1</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全自动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研磨机</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LSN05</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2</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不锈钢材质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lang w:val="en-US" w:eastAsia="zh-CN"/>
                    </w:rPr>
                    <w:t>功率测试</w:t>
                  </w:r>
                  <w:r>
                    <w:rPr>
                      <w:rFonts w:hint="eastAsia"/>
                      <w:color w:val="auto"/>
                    </w:rPr>
                    <w:t>台</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非标定制</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套</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4</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sz w:val="21"/>
                      <w:szCs w:val="21"/>
                      <w:lang w:val="en-US" w:eastAsia="zh-CN"/>
                    </w:rPr>
                    <w:t>测试发热管功率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多功能检测台</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MX-CST</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套</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lang w:val="en-US" w:eastAsia="zh-CN"/>
                    </w:rPr>
                    <w:t>3</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电气性能检测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3级喷淋塔</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非标定制</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套</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1</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PP材质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活性炭吸附装置</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非标定制</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套</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1</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蜂窝吸附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l2br w:val="nil"/>
                    <w:tr2bl w:val="nil"/>
                  </w:tcBorders>
                  <w:vAlign w:val="center"/>
                </w:tcPr>
                <w:p>
                  <w:pPr>
                    <w:pStyle w:val="32"/>
                    <w:keepNext w:val="0"/>
                    <w:keepLines w:val="0"/>
                    <w:pageBreakBefore w:val="0"/>
                    <w:widowControl w:val="0"/>
                    <w:numPr>
                      <w:ilvl w:val="0"/>
                      <w:numId w:val="11"/>
                    </w:numPr>
                    <w:kinsoku/>
                    <w:wordWrap/>
                    <w:overflowPunct/>
                    <w:topLinePunct w:val="0"/>
                    <w:autoSpaceDE/>
                    <w:autoSpaceDN/>
                    <w:bidi w:val="0"/>
                    <w:adjustRightInd/>
                    <w:snapToGrid/>
                    <w:spacing w:before="0" w:after="0"/>
                    <w:ind w:left="0" w:leftChars="0" w:firstLine="0" w:firstLineChars="0"/>
                    <w:textAlignment w:val="auto"/>
                    <w:rPr>
                      <w:color w:val="auto"/>
                    </w:rPr>
                  </w:pPr>
                </w:p>
              </w:tc>
              <w:tc>
                <w:tcPr>
                  <w:tcW w:w="1832"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rFonts w:hint="eastAsia"/>
                      <w:color w:val="auto"/>
                      <w:highlight w:val="none"/>
                    </w:rPr>
                    <w:t>风机</w:t>
                  </w:r>
                </w:p>
              </w:tc>
              <w:tc>
                <w:tcPr>
                  <w:tcW w:w="1703"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highlight w:val="none"/>
                    </w:rPr>
                  </w:pPr>
                  <w:r>
                    <w:rPr>
                      <w:rFonts w:hint="eastAsia"/>
                      <w:color w:val="auto"/>
                      <w:highlight w:val="none"/>
                    </w:rPr>
                    <w:t>风量1800</w:t>
                  </w:r>
                  <w:r>
                    <w:rPr>
                      <w:color w:val="auto"/>
                      <w:highlight w:val="none"/>
                    </w:rPr>
                    <w:t>m</w:t>
                  </w:r>
                  <w:r>
                    <w:rPr>
                      <w:color w:val="auto"/>
                      <w:highlight w:val="none"/>
                      <w:vertAlign w:val="superscript"/>
                    </w:rPr>
                    <w:t>3</w:t>
                  </w:r>
                  <w:r>
                    <w:rPr>
                      <w:color w:val="auto"/>
                      <w:highlight w:val="none"/>
                    </w:rPr>
                    <w:t>/h</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台</w:t>
                  </w:r>
                </w:p>
              </w:tc>
              <w:tc>
                <w:tcPr>
                  <w:tcW w:w="10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r>
                    <w:rPr>
                      <w:rFonts w:hint="eastAsia"/>
                      <w:color w:val="auto"/>
                    </w:rPr>
                    <w:t>2</w:t>
                  </w:r>
                </w:p>
              </w:tc>
              <w:tc>
                <w:tcPr>
                  <w:tcW w:w="190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val="en-US" w:eastAsia="zh-CN"/>
                    </w:rPr>
                  </w:pPr>
                  <w:r>
                    <w:rPr>
                      <w:rFonts w:hint="eastAsia" w:ascii="宋体" w:hAnsi="宋体" w:eastAsia="宋体" w:cs="宋体"/>
                      <w:color w:val="auto"/>
                      <w:lang w:val="en-US" w:eastAsia="zh-CN"/>
                    </w:rPr>
                    <w:t>－</w:t>
                  </w:r>
                </w:p>
              </w:tc>
            </w:tr>
          </w:tbl>
          <w:p>
            <w:pPr>
              <w:bidi w:val="0"/>
              <w:rPr>
                <w:rFonts w:hint="default"/>
                <w:color w:val="auto"/>
                <w:sz w:val="24"/>
                <w:szCs w:val="24"/>
                <w:highlight w:val="none"/>
              </w:rPr>
            </w:pPr>
            <w:r>
              <w:rPr>
                <w:rFonts w:hint="eastAsia"/>
                <w:color w:val="auto"/>
                <w:sz w:val="24"/>
                <w:szCs w:val="24"/>
                <w:highlight w:val="none"/>
                <w:lang w:val="en-US" w:eastAsia="zh-CN"/>
              </w:rPr>
              <w:t>8、</w:t>
            </w:r>
            <w:r>
              <w:rPr>
                <w:rFonts w:hint="default"/>
                <w:color w:val="auto"/>
                <w:sz w:val="24"/>
                <w:szCs w:val="24"/>
                <w:highlight w:val="none"/>
              </w:rPr>
              <w:t xml:space="preserve">给排水及采暖 </w:t>
            </w:r>
          </w:p>
          <w:p>
            <w:pPr>
              <w:bidi w:val="0"/>
              <w:rPr>
                <w:rFonts w:hint="default"/>
                <w:color w:val="auto"/>
                <w:spacing w:val="0"/>
                <w:sz w:val="24"/>
                <w:highlight w:val="none"/>
                <w:vertAlign w:val="baseline"/>
                <w:lang w:val="en-US" w:eastAsia="zh-CN"/>
              </w:rPr>
            </w:pPr>
            <w:r>
              <w:rPr>
                <w:rFonts w:hint="eastAsia"/>
                <w:color w:val="auto"/>
                <w:spacing w:val="0"/>
                <w:sz w:val="24"/>
                <w:highlight w:val="none"/>
                <w:vertAlign w:val="baseline"/>
                <w:lang w:val="en-US" w:eastAsia="zh-CN"/>
              </w:rPr>
              <w:t>（1）给排水</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lang w:val="en-US" w:eastAsia="zh-CN"/>
              </w:rPr>
              <w:t>现有工程</w:t>
            </w:r>
            <w:r>
              <w:rPr>
                <w:rFonts w:hint="eastAsia" w:ascii="Times New Roman" w:hAnsi="Times New Roman" w:eastAsia="宋体"/>
                <w:color w:val="auto"/>
                <w:sz w:val="24"/>
                <w:szCs w:val="30"/>
              </w:rPr>
              <w:t>用水</w:t>
            </w:r>
            <w:r>
              <w:rPr>
                <w:rFonts w:ascii="Times New Roman" w:hAnsi="Times New Roman" w:eastAsia="宋体"/>
                <w:color w:val="auto"/>
                <w:sz w:val="24"/>
                <w:szCs w:val="30"/>
              </w:rPr>
              <w:t>主要包括生产用水和生活用水，新水总用量为</w:t>
            </w:r>
            <w:r>
              <w:rPr>
                <w:rFonts w:hint="eastAsia" w:ascii="Times New Roman" w:hAnsi="Times New Roman" w:eastAsia="宋体"/>
                <w:color w:val="auto"/>
                <w:sz w:val="24"/>
                <w:szCs w:val="30"/>
              </w:rPr>
              <w:t>0.77003</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/d（2</w:t>
            </w:r>
            <w:r>
              <w:rPr>
                <w:rFonts w:hint="eastAsia" w:ascii="Times New Roman" w:hAnsi="Times New Roman" w:eastAsia="宋体"/>
                <w:color w:val="auto"/>
                <w:sz w:val="24"/>
                <w:szCs w:val="30"/>
              </w:rPr>
              <w:t>31.009</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rPr>
              <w:t>，用水</w:t>
            </w:r>
            <w:r>
              <w:rPr>
                <w:rFonts w:ascii="Times New Roman" w:hAnsi="Times New Roman" w:eastAsia="宋体"/>
                <w:color w:val="auto"/>
                <w:sz w:val="24"/>
                <w:szCs w:val="30"/>
              </w:rPr>
              <w:t>由市政供水管网提供，可满足全厂用水需求。</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lang w:val="en-US" w:eastAsia="zh-CN"/>
              </w:rPr>
              <w:t>现有工程</w:t>
            </w:r>
            <w:r>
              <w:rPr>
                <w:rFonts w:ascii="Times New Roman" w:hAnsi="Times New Roman" w:eastAsia="宋体"/>
                <w:color w:val="auto"/>
                <w:sz w:val="24"/>
                <w:szCs w:val="30"/>
              </w:rPr>
              <w:t>生产用水主要为镀膜</w:t>
            </w:r>
            <w:r>
              <w:rPr>
                <w:rFonts w:hint="eastAsia" w:ascii="Times New Roman" w:hAnsi="Times New Roman" w:eastAsia="宋体"/>
                <w:color w:val="auto"/>
                <w:sz w:val="24"/>
                <w:szCs w:val="30"/>
              </w:rPr>
              <w:t>废气处理</w:t>
            </w:r>
            <w:r>
              <w:rPr>
                <w:rFonts w:ascii="Times New Roman" w:hAnsi="Times New Roman" w:eastAsia="宋体"/>
                <w:color w:val="auto"/>
                <w:sz w:val="24"/>
                <w:szCs w:val="30"/>
              </w:rPr>
              <w:t>过程碱液喷淋塔用水</w:t>
            </w:r>
            <w:r>
              <w:rPr>
                <w:rFonts w:hint="eastAsia" w:ascii="Times New Roman" w:hAnsi="Times New Roman" w:eastAsia="宋体"/>
                <w:color w:val="auto"/>
                <w:sz w:val="24"/>
                <w:szCs w:val="30"/>
              </w:rPr>
              <w:t>和基体镀膜后冷却用水。其中，镀膜废气处理过程碱液喷淋塔</w:t>
            </w:r>
            <w:r>
              <w:rPr>
                <w:rFonts w:ascii="Times New Roman" w:hAnsi="Times New Roman" w:eastAsia="宋体"/>
                <w:color w:val="auto"/>
                <w:sz w:val="24"/>
                <w:szCs w:val="30"/>
              </w:rPr>
              <w:t>用水量为3</w:t>
            </w:r>
            <w:r>
              <w:rPr>
                <w:rFonts w:hint="eastAsia" w:ascii="Times New Roman" w:hAnsi="Times New Roman" w:eastAsia="宋体"/>
                <w:color w:val="auto"/>
                <w:sz w:val="24"/>
                <w:szCs w:val="30"/>
              </w:rPr>
              <w:t>.0</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w:t>
            </w:r>
            <w:r>
              <w:rPr>
                <w:rFonts w:hint="eastAsia" w:ascii="Times New Roman" w:hAnsi="Times New Roman" w:eastAsia="宋体"/>
                <w:color w:val="auto"/>
                <w:sz w:val="24"/>
                <w:szCs w:val="30"/>
                <w:lang w:eastAsia="zh-CN"/>
              </w:rPr>
              <w:t>（</w:t>
            </w:r>
            <w:r>
              <w:rPr>
                <w:rFonts w:hint="eastAsia" w:ascii="Times New Roman" w:hAnsi="Times New Roman" w:eastAsia="宋体"/>
                <w:color w:val="auto"/>
                <w:sz w:val="24"/>
                <w:szCs w:val="30"/>
                <w:lang w:val="en-US" w:eastAsia="zh-CN"/>
              </w:rPr>
              <w:t>900</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lang w:eastAsia="zh-CN"/>
              </w:rPr>
              <w:t>）</w:t>
            </w:r>
            <w:r>
              <w:rPr>
                <w:rFonts w:ascii="Times New Roman" w:hAnsi="Times New Roman" w:eastAsia="宋体"/>
                <w:color w:val="auto"/>
                <w:sz w:val="24"/>
                <w:szCs w:val="30"/>
              </w:rPr>
              <w:t>，循环使用，</w:t>
            </w:r>
            <w:r>
              <w:rPr>
                <w:rFonts w:hint="eastAsia" w:ascii="Times New Roman" w:hAnsi="Times New Roman" w:eastAsia="宋体"/>
                <w:color w:val="auto"/>
                <w:sz w:val="24"/>
                <w:szCs w:val="30"/>
              </w:rPr>
              <w:t>使用</w:t>
            </w:r>
            <w:r>
              <w:rPr>
                <w:rFonts w:ascii="Times New Roman" w:hAnsi="Times New Roman" w:eastAsia="宋体"/>
                <w:color w:val="auto"/>
                <w:sz w:val="24"/>
                <w:szCs w:val="30"/>
              </w:rPr>
              <w:t>过程</w:t>
            </w:r>
            <w:r>
              <w:rPr>
                <w:rFonts w:hint="eastAsia" w:ascii="Times New Roman" w:hAnsi="Times New Roman" w:eastAsia="宋体"/>
                <w:color w:val="auto"/>
                <w:sz w:val="24"/>
                <w:szCs w:val="30"/>
              </w:rPr>
              <w:t>会</w:t>
            </w:r>
            <w:r>
              <w:rPr>
                <w:rFonts w:ascii="Times New Roman" w:hAnsi="Times New Roman" w:eastAsia="宋体"/>
                <w:color w:val="auto"/>
                <w:sz w:val="24"/>
                <w:szCs w:val="30"/>
              </w:rPr>
              <w:t>损失一部分，损失量为</w:t>
            </w:r>
            <w:r>
              <w:rPr>
                <w:rFonts w:hint="eastAsia" w:ascii="Times New Roman" w:hAnsi="Times New Roman" w:eastAsia="宋体"/>
                <w:color w:val="auto"/>
                <w:sz w:val="24"/>
                <w:szCs w:val="30"/>
              </w:rPr>
              <w:t>0.1</w:t>
            </w:r>
            <w:r>
              <w:rPr>
                <w:rFonts w:ascii="Times New Roman" w:hAnsi="Times New Roman" w:eastAsia="宋体"/>
                <w:color w:val="auto"/>
                <w:sz w:val="24"/>
                <w:szCs w:val="30"/>
              </w:rPr>
              <w:t>5m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w:t>
            </w:r>
            <w:r>
              <w:rPr>
                <w:rFonts w:hint="eastAsia" w:ascii="Times New Roman" w:hAnsi="Times New Roman" w:eastAsia="宋体"/>
                <w:color w:val="auto"/>
                <w:sz w:val="24"/>
                <w:szCs w:val="30"/>
                <w:lang w:eastAsia="zh-CN"/>
              </w:rPr>
              <w:t>（</w:t>
            </w:r>
            <w:r>
              <w:rPr>
                <w:rFonts w:hint="eastAsia" w:ascii="Times New Roman" w:hAnsi="Times New Roman" w:eastAsia="宋体"/>
                <w:color w:val="auto"/>
                <w:sz w:val="24"/>
                <w:szCs w:val="30"/>
                <w:lang w:val="en-US" w:eastAsia="zh-CN"/>
              </w:rPr>
              <w:t>45</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lang w:eastAsia="zh-CN"/>
              </w:rPr>
              <w:t>）</w:t>
            </w:r>
            <w:r>
              <w:rPr>
                <w:rFonts w:ascii="Times New Roman" w:hAnsi="Times New Roman" w:eastAsia="宋体"/>
                <w:color w:val="auto"/>
                <w:sz w:val="24"/>
                <w:szCs w:val="30"/>
              </w:rPr>
              <w:t>，因此，需定期补充新水</w:t>
            </w:r>
            <w:r>
              <w:rPr>
                <w:rFonts w:hint="eastAsia" w:ascii="Times New Roman" w:hAnsi="Times New Roman" w:eastAsia="宋体"/>
                <w:color w:val="auto"/>
                <w:sz w:val="24"/>
                <w:szCs w:val="30"/>
              </w:rPr>
              <w:t>0.1</w:t>
            </w:r>
            <w:r>
              <w:rPr>
                <w:rFonts w:ascii="Times New Roman" w:hAnsi="Times New Roman" w:eastAsia="宋体"/>
                <w:color w:val="auto"/>
                <w:sz w:val="24"/>
                <w:szCs w:val="30"/>
              </w:rPr>
              <w:t>5m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w:t>
            </w:r>
            <w:r>
              <w:rPr>
                <w:rFonts w:hint="eastAsia" w:ascii="Times New Roman" w:hAnsi="Times New Roman" w:eastAsia="宋体"/>
                <w:color w:val="auto"/>
                <w:sz w:val="24"/>
                <w:szCs w:val="30"/>
              </w:rPr>
              <w:t>（</w:t>
            </w:r>
            <w:r>
              <w:rPr>
                <w:rFonts w:ascii="Times New Roman" w:hAnsi="Times New Roman" w:eastAsia="宋体"/>
                <w:color w:val="auto"/>
                <w:sz w:val="24"/>
                <w:szCs w:val="30"/>
              </w:rPr>
              <w:t>45m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rPr>
              <w:t>），碱液</w:t>
            </w:r>
            <w:r>
              <w:rPr>
                <w:rFonts w:ascii="Times New Roman" w:hAnsi="Times New Roman" w:eastAsia="宋体"/>
                <w:color w:val="auto"/>
                <w:sz w:val="24"/>
                <w:szCs w:val="30"/>
              </w:rPr>
              <w:t>喷淋塔用水需定期更换，</w:t>
            </w:r>
            <w:r>
              <w:rPr>
                <w:rFonts w:hint="eastAsia" w:ascii="Times New Roman" w:hAnsi="Times New Roman" w:eastAsia="宋体"/>
                <w:color w:val="auto"/>
                <w:sz w:val="24"/>
                <w:szCs w:val="30"/>
              </w:rPr>
              <w:t>每</w:t>
            </w:r>
            <w:r>
              <w:rPr>
                <w:rFonts w:ascii="Times New Roman" w:hAnsi="Times New Roman" w:eastAsia="宋体"/>
                <w:color w:val="auto"/>
                <w:sz w:val="24"/>
                <w:szCs w:val="30"/>
              </w:rPr>
              <w:t>半年更换一次，每次更换量为3</w:t>
            </w:r>
            <w:r>
              <w:rPr>
                <w:rFonts w:hint="eastAsia" w:ascii="Times New Roman" w:hAnsi="Times New Roman" w:eastAsia="宋体"/>
                <w:color w:val="auto"/>
                <w:sz w:val="24"/>
                <w:szCs w:val="30"/>
              </w:rPr>
              <w:t>.0</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w:t>
            </w:r>
            <w:r>
              <w:rPr>
                <w:rFonts w:hint="eastAsia" w:ascii="Times New Roman" w:hAnsi="Times New Roman" w:eastAsia="宋体"/>
                <w:color w:val="auto"/>
                <w:sz w:val="24"/>
                <w:szCs w:val="30"/>
              </w:rPr>
              <w:t>折合0.0</w:t>
            </w:r>
            <w:r>
              <w:rPr>
                <w:rFonts w:ascii="Times New Roman" w:hAnsi="Times New Roman" w:eastAsia="宋体"/>
                <w:color w:val="auto"/>
                <w:sz w:val="24"/>
                <w:szCs w:val="30"/>
              </w:rPr>
              <w:t>2m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w:t>
            </w:r>
            <w:r>
              <w:rPr>
                <w:rFonts w:hint="eastAsia" w:ascii="Times New Roman" w:hAnsi="Times New Roman" w:eastAsia="宋体"/>
                <w:color w:val="auto"/>
                <w:sz w:val="24"/>
                <w:szCs w:val="30"/>
              </w:rPr>
              <w:t>，因此</w:t>
            </w:r>
            <w:r>
              <w:rPr>
                <w:rFonts w:ascii="Times New Roman" w:hAnsi="Times New Roman" w:eastAsia="宋体"/>
                <w:color w:val="auto"/>
                <w:sz w:val="24"/>
                <w:szCs w:val="30"/>
              </w:rPr>
              <w:t>该过程废水量为6m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rPr>
              <w:t>更换</w:t>
            </w:r>
            <w:r>
              <w:rPr>
                <w:rFonts w:ascii="Times New Roman" w:hAnsi="Times New Roman" w:eastAsia="宋体"/>
                <w:color w:val="auto"/>
                <w:sz w:val="24"/>
                <w:szCs w:val="30"/>
              </w:rPr>
              <w:t>的废水作为</w:t>
            </w:r>
            <w:r>
              <w:rPr>
                <w:rFonts w:hint="eastAsia" w:ascii="Times New Roman" w:hAnsi="Times New Roman" w:eastAsia="宋体"/>
                <w:color w:val="auto"/>
                <w:sz w:val="24"/>
                <w:szCs w:val="30"/>
              </w:rPr>
              <w:t>危险</w:t>
            </w:r>
            <w:r>
              <w:rPr>
                <w:rFonts w:ascii="Times New Roman" w:hAnsi="Times New Roman" w:eastAsia="宋体"/>
                <w:color w:val="auto"/>
                <w:sz w:val="24"/>
                <w:szCs w:val="30"/>
              </w:rPr>
              <w:t>废物，委托有资质单位处理</w:t>
            </w:r>
            <w:r>
              <w:rPr>
                <w:rFonts w:hint="eastAsia" w:ascii="Times New Roman" w:hAnsi="Times New Roman" w:eastAsia="宋体"/>
                <w:color w:val="auto"/>
                <w:sz w:val="24"/>
                <w:szCs w:val="30"/>
              </w:rPr>
              <w:t>。</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lang w:val="en-US" w:eastAsia="zh-CN"/>
              </w:rPr>
              <w:t>现有工程</w:t>
            </w:r>
            <w:r>
              <w:rPr>
                <w:rFonts w:hint="eastAsia" w:ascii="Times New Roman" w:hAnsi="Times New Roman" w:eastAsia="宋体"/>
                <w:color w:val="auto"/>
                <w:sz w:val="24"/>
                <w:szCs w:val="30"/>
              </w:rPr>
              <w:t>基体镀膜后一般采用风冷方式进行冷却，当产量较大时，一部分基体采用水冷方式进行冷却，水冷过程用水量为0.05m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/a，折合0.0002m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/d，该水循环使用，使用过程会蒸发损失一部分，损失量为0.00003m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/d（0.009m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/a），因此需定期补充新水0.00003m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/d（0.009m</w:t>
            </w:r>
            <w:r>
              <w:rPr>
                <w:rFonts w:hint="eastAsia" w:ascii="Times New Roman" w:hAnsi="Times New Roman" w:eastAsia="宋体"/>
                <w:color w:val="auto"/>
                <w:sz w:val="24"/>
                <w:szCs w:val="30"/>
                <w:vertAlign w:val="superscript"/>
              </w:rPr>
              <w:t>3</w:t>
            </w:r>
            <w:r>
              <w:rPr>
                <w:rFonts w:hint="eastAsia" w:ascii="Times New Roman" w:hAnsi="Times New Roman" w:eastAsia="宋体"/>
                <w:color w:val="auto"/>
                <w:sz w:val="24"/>
                <w:szCs w:val="30"/>
              </w:rPr>
              <w:t>/a），无废水排放。</w:t>
            </w:r>
          </w:p>
          <w:p>
            <w:pPr>
              <w:bidi w:val="0"/>
              <w:rPr>
                <w:b/>
                <w:bCs/>
                <w:color w:val="auto"/>
                <w:sz w:val="21"/>
                <w:szCs w:val="21"/>
                <w:highlight w:val="none"/>
              </w:rPr>
            </w:pPr>
            <w:r>
              <w:rPr>
                <w:rFonts w:hint="eastAsia" w:ascii="Times New Roman" w:hAnsi="Times New Roman" w:eastAsia="宋体"/>
                <w:color w:val="auto"/>
                <w:sz w:val="24"/>
                <w:szCs w:val="30"/>
                <w:lang w:val="en-US" w:eastAsia="zh-CN"/>
              </w:rPr>
              <w:t>厂区</w:t>
            </w:r>
            <w:r>
              <w:rPr>
                <w:rFonts w:ascii="Times New Roman" w:hAnsi="Times New Roman" w:eastAsia="宋体"/>
                <w:color w:val="auto"/>
                <w:sz w:val="24"/>
                <w:szCs w:val="30"/>
              </w:rPr>
              <w:t>不设食堂、宿舍和洗浴设施，厕所为</w:t>
            </w:r>
            <w:r>
              <w:rPr>
                <w:rFonts w:hint="eastAsia" w:ascii="Times New Roman" w:hAnsi="Times New Roman" w:eastAsia="宋体"/>
                <w:color w:val="auto"/>
                <w:sz w:val="24"/>
                <w:szCs w:val="30"/>
              </w:rPr>
              <w:t>水冲厕</w:t>
            </w:r>
            <w:r>
              <w:rPr>
                <w:rFonts w:ascii="Times New Roman" w:hAnsi="Times New Roman" w:eastAsia="宋体"/>
                <w:color w:val="auto"/>
                <w:sz w:val="24"/>
                <w:szCs w:val="30"/>
              </w:rPr>
              <w:t>。</w:t>
            </w:r>
            <w:r>
              <w:rPr>
                <w:rFonts w:hint="eastAsia" w:ascii="Times New Roman" w:hAnsi="Times New Roman" w:eastAsia="宋体"/>
                <w:color w:val="auto"/>
                <w:sz w:val="24"/>
                <w:szCs w:val="30"/>
              </w:rPr>
              <w:t>生活</w:t>
            </w:r>
            <w:r>
              <w:rPr>
                <w:rFonts w:ascii="Times New Roman" w:hAnsi="Times New Roman" w:eastAsia="宋体"/>
                <w:color w:val="auto"/>
                <w:sz w:val="24"/>
                <w:szCs w:val="30"/>
              </w:rPr>
              <w:t>用水主要为职工</w:t>
            </w:r>
            <w:r>
              <w:rPr>
                <w:rFonts w:hint="eastAsia" w:ascii="Times New Roman" w:hAnsi="Times New Roman" w:eastAsia="宋体"/>
                <w:color w:val="auto"/>
                <w:sz w:val="24"/>
                <w:szCs w:val="30"/>
              </w:rPr>
              <w:t>日常</w:t>
            </w:r>
            <w:r>
              <w:rPr>
                <w:rFonts w:ascii="Times New Roman" w:hAnsi="Times New Roman" w:eastAsia="宋体"/>
                <w:color w:val="auto"/>
                <w:sz w:val="24"/>
                <w:szCs w:val="30"/>
              </w:rPr>
              <w:t>饮用、盥洗及冲厕用水，用水量为</w:t>
            </w:r>
            <w:r>
              <w:rPr>
                <w:rFonts w:hint="eastAsia" w:ascii="Times New Roman" w:hAnsi="Times New Roman" w:eastAsia="宋体"/>
                <w:color w:val="auto"/>
                <w:sz w:val="24"/>
                <w:szCs w:val="30"/>
              </w:rPr>
              <w:t>0.</w:t>
            </w:r>
            <w:r>
              <w:rPr>
                <w:rFonts w:ascii="Times New Roman" w:hAnsi="Times New Roman" w:eastAsia="宋体"/>
                <w:color w:val="auto"/>
                <w:sz w:val="24"/>
                <w:szCs w:val="30"/>
              </w:rPr>
              <w:t>6m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/d（18</w:t>
            </w:r>
            <w:r>
              <w:rPr>
                <w:rFonts w:hint="eastAsia" w:ascii="Times New Roman" w:hAnsi="Times New Roman" w:eastAsia="宋体"/>
                <w:color w:val="auto"/>
                <w:sz w:val="24"/>
                <w:szCs w:val="30"/>
              </w:rPr>
              <w:t>0</w:t>
            </w:r>
            <w:r>
              <w:rPr>
                <w:rFonts w:ascii="Times New Roman" w:hAnsi="Times New Roman" w:eastAsia="宋体"/>
                <w:color w:val="auto"/>
                <w:sz w:val="24"/>
                <w:szCs w:val="30"/>
              </w:rPr>
              <w:t>m</w:t>
            </w:r>
            <w:r>
              <w:rPr>
                <w:rFonts w:ascii="Times New Roman" w:hAnsi="Times New Roman" w:eastAsia="宋体"/>
                <w:color w:val="auto"/>
                <w:sz w:val="24"/>
                <w:szCs w:val="30"/>
                <w:vertAlign w:val="superscript"/>
              </w:rPr>
              <w:t>3</w:t>
            </w:r>
            <w:r>
              <w:rPr>
                <w:rFonts w:ascii="Times New Roman" w:hAnsi="Times New Roman" w:eastAsia="宋体"/>
                <w:color w:val="auto"/>
                <w:sz w:val="24"/>
                <w:szCs w:val="30"/>
              </w:rPr>
              <w:t>/a）</w:t>
            </w:r>
            <w:r>
              <w:rPr>
                <w:rFonts w:hint="eastAsia" w:ascii="Times New Roman" w:hAnsi="Times New Roman" w:eastAsia="宋体"/>
                <w:color w:val="auto"/>
                <w:sz w:val="24"/>
                <w:szCs w:val="30"/>
                <w:lang w:eastAsia="zh-CN"/>
              </w:rPr>
              <w:t>，</w:t>
            </w:r>
            <w:r>
              <w:rPr>
                <w:rFonts w:hint="eastAsia" w:ascii="Times New Roman" w:hAnsi="Times New Roman" w:eastAsia="宋体"/>
                <w:snapToGrid w:val="0"/>
                <w:color w:val="auto"/>
                <w:kern w:val="0"/>
                <w:sz w:val="24"/>
              </w:rPr>
              <w:t>生活废水主要为职工日常盥洗和冲厕废水，废水</w:t>
            </w:r>
            <w:r>
              <w:rPr>
                <w:rFonts w:ascii="Times New Roman" w:hAnsi="Times New Roman" w:eastAsia="宋体"/>
                <w:snapToGrid w:val="0"/>
                <w:color w:val="auto"/>
                <w:kern w:val="0"/>
                <w:sz w:val="24"/>
              </w:rPr>
              <w:t>产生量为</w:t>
            </w:r>
            <w:r>
              <w:rPr>
                <w:rFonts w:hint="eastAsia" w:ascii="Times New Roman" w:hAnsi="Times New Roman" w:eastAsia="宋体"/>
                <w:snapToGrid w:val="0"/>
                <w:color w:val="auto"/>
                <w:kern w:val="0"/>
                <w:sz w:val="24"/>
              </w:rPr>
              <w:t>0.</w:t>
            </w:r>
            <w:r>
              <w:rPr>
                <w:rFonts w:ascii="Times New Roman" w:hAnsi="Times New Roman" w:eastAsia="宋体"/>
                <w:snapToGrid w:val="0"/>
                <w:color w:val="auto"/>
                <w:kern w:val="0"/>
                <w:sz w:val="24"/>
              </w:rPr>
              <w:t>48</w:t>
            </w:r>
            <w:r>
              <w:rPr>
                <w:rFonts w:hint="eastAsia" w:ascii="Times New Roman" w:hAnsi="Times New Roman" w:eastAsia="宋体"/>
                <w:snapToGrid w:val="0"/>
                <w:color w:val="auto"/>
                <w:kern w:val="0"/>
                <w:sz w:val="24"/>
              </w:rPr>
              <w:t>m</w:t>
            </w:r>
            <w:r>
              <w:rPr>
                <w:rFonts w:hint="eastAsia" w:ascii="Times New Roman" w:hAnsi="Times New Roman" w:eastAsia="宋体"/>
                <w:snapToGrid w:val="0"/>
                <w:color w:val="auto"/>
                <w:kern w:val="0"/>
                <w:sz w:val="24"/>
                <w:vertAlign w:val="superscript"/>
              </w:rPr>
              <w:t>3</w:t>
            </w:r>
            <w:r>
              <w:rPr>
                <w:rFonts w:ascii="Times New Roman" w:hAnsi="Times New Roman" w:eastAsia="宋体"/>
                <w:snapToGrid w:val="0"/>
                <w:color w:val="auto"/>
                <w:kern w:val="0"/>
                <w:sz w:val="24"/>
              </w:rPr>
              <w:t>/d（144</w:t>
            </w:r>
            <w:r>
              <w:rPr>
                <w:rFonts w:hint="eastAsia" w:ascii="Times New Roman" w:hAnsi="Times New Roman" w:eastAsia="宋体"/>
                <w:snapToGrid w:val="0"/>
                <w:color w:val="auto"/>
                <w:kern w:val="0"/>
                <w:sz w:val="24"/>
              </w:rPr>
              <w:t>m</w:t>
            </w:r>
            <w:r>
              <w:rPr>
                <w:rFonts w:hint="eastAsia" w:ascii="Times New Roman" w:hAnsi="Times New Roman" w:eastAsia="宋体"/>
                <w:snapToGrid w:val="0"/>
                <w:color w:val="auto"/>
                <w:kern w:val="0"/>
                <w:sz w:val="24"/>
                <w:vertAlign w:val="superscript"/>
              </w:rPr>
              <w:t>3</w:t>
            </w:r>
            <w:r>
              <w:rPr>
                <w:rFonts w:ascii="Times New Roman" w:hAnsi="Times New Roman" w:eastAsia="宋体"/>
                <w:snapToGrid w:val="0"/>
                <w:color w:val="auto"/>
                <w:kern w:val="0"/>
                <w:sz w:val="24"/>
              </w:rPr>
              <w:t>/a），排入</w:t>
            </w:r>
            <w:r>
              <w:rPr>
                <w:rFonts w:hint="eastAsia" w:ascii="Times New Roman" w:hAnsi="Times New Roman" w:eastAsia="宋体"/>
                <w:snapToGrid w:val="0"/>
                <w:color w:val="auto"/>
                <w:kern w:val="0"/>
                <w:sz w:val="24"/>
              </w:rPr>
              <w:t>市政污水管网</w:t>
            </w:r>
            <w:r>
              <w:rPr>
                <w:rFonts w:ascii="Times New Roman" w:hAnsi="Times New Roman" w:eastAsia="宋体"/>
                <w:snapToGrid w:val="0"/>
                <w:color w:val="auto"/>
                <w:kern w:val="0"/>
                <w:sz w:val="24"/>
              </w:rPr>
              <w:t>，最终</w:t>
            </w:r>
            <w:r>
              <w:rPr>
                <w:rFonts w:hint="eastAsia" w:ascii="Times New Roman" w:hAnsi="Times New Roman" w:eastAsia="宋体"/>
                <w:snapToGrid w:val="0"/>
                <w:color w:val="auto"/>
                <w:kern w:val="0"/>
                <w:sz w:val="24"/>
              </w:rPr>
              <w:t>排</w:t>
            </w:r>
            <w:r>
              <w:rPr>
                <w:rFonts w:ascii="Times New Roman" w:hAnsi="Times New Roman" w:eastAsia="宋体"/>
                <w:snapToGrid w:val="0"/>
                <w:color w:val="auto"/>
                <w:kern w:val="0"/>
                <w:sz w:val="24"/>
              </w:rPr>
              <w:t>入</w:t>
            </w:r>
            <w:r>
              <w:rPr>
                <w:rFonts w:hint="eastAsia"/>
                <w:snapToGrid w:val="0"/>
                <w:color w:val="auto"/>
                <w:kern w:val="0"/>
                <w:sz w:val="24"/>
                <w:lang w:val="en-US" w:eastAsia="zh-CN"/>
              </w:rPr>
              <w:t>西</w:t>
            </w:r>
            <w:r>
              <w:rPr>
                <w:rFonts w:hint="eastAsia" w:ascii="Times New Roman" w:hAnsi="Times New Roman" w:eastAsia="宋体"/>
                <w:snapToGrid w:val="0"/>
                <w:color w:val="auto"/>
                <w:kern w:val="0"/>
                <w:sz w:val="24"/>
              </w:rPr>
              <w:t>郊</w:t>
            </w:r>
            <w:r>
              <w:rPr>
                <w:rFonts w:ascii="Times New Roman" w:hAnsi="Times New Roman" w:eastAsia="宋体"/>
                <w:snapToGrid w:val="0"/>
                <w:color w:val="auto"/>
                <w:kern w:val="0"/>
                <w:sz w:val="24"/>
              </w:rPr>
              <w:t>污水处理厂统一处理。</w:t>
            </w:r>
          </w:p>
          <w:p>
            <w:pPr>
              <w:keepNext w:val="0"/>
              <w:keepLines w:val="0"/>
              <w:pageBreakBefore w:val="0"/>
              <w:widowControl w:val="0"/>
              <w:tabs>
                <w:tab w:val="left" w:pos="3061"/>
                <w:tab w:val="left" w:pos="7180"/>
              </w:tabs>
              <w:kinsoku/>
              <w:wordWrap/>
              <w:overflowPunct/>
              <w:topLinePunct w:val="0"/>
              <w:autoSpaceDE/>
              <w:autoSpaceDN/>
              <w:bidi w:val="0"/>
              <w:adjustRightInd/>
              <w:snapToGrid/>
              <w:spacing w:line="240" w:lineRule="auto"/>
              <w:ind w:left="0" w:firstLine="0" w:firstLineChars="0"/>
              <w:jc w:val="center"/>
              <w:textAlignment w:val="auto"/>
              <w:rPr>
                <w:b/>
                <w:bCs/>
                <w:color w:val="auto"/>
                <w:sz w:val="21"/>
                <w:szCs w:val="21"/>
                <w:highlight w:val="none"/>
              </w:rPr>
            </w:pPr>
            <w:r>
              <w:rPr>
                <w:color w:val="auto"/>
              </w:rPr>
              <w:drawing>
                <wp:inline distT="0" distB="0" distL="114300" distR="114300">
                  <wp:extent cx="4466590" cy="3060065"/>
                  <wp:effectExtent l="0" t="0" r="10160" b="698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2"/>
                          <a:stretch>
                            <a:fillRect/>
                          </a:stretch>
                        </pic:blipFill>
                        <pic:spPr>
                          <a:xfrm>
                            <a:off x="0" y="0"/>
                            <a:ext cx="4466590" cy="3060065"/>
                          </a:xfrm>
                          <a:prstGeom prst="rect">
                            <a:avLst/>
                          </a:prstGeom>
                          <a:noFill/>
                          <a:ln>
                            <a:noFill/>
                          </a:ln>
                        </pic:spPr>
                      </pic:pic>
                    </a:graphicData>
                  </a:graphic>
                </wp:inline>
              </w:drawing>
            </w:r>
          </w:p>
          <w:p>
            <w:pPr>
              <w:keepNext w:val="0"/>
              <w:keepLines w:val="0"/>
              <w:pageBreakBefore w:val="0"/>
              <w:widowControl w:val="0"/>
              <w:tabs>
                <w:tab w:val="left" w:pos="3061"/>
                <w:tab w:val="left" w:pos="7180"/>
              </w:tabs>
              <w:kinsoku/>
              <w:wordWrap/>
              <w:overflowPunct/>
              <w:topLinePunct w:val="0"/>
              <w:autoSpaceDE/>
              <w:autoSpaceDN/>
              <w:bidi w:val="0"/>
              <w:adjustRightInd/>
              <w:snapToGrid/>
              <w:ind w:left="0" w:firstLine="0" w:firstLineChars="0"/>
              <w:jc w:val="center"/>
              <w:textAlignment w:val="auto"/>
              <w:rPr>
                <w:b/>
                <w:bCs/>
                <w:color w:val="auto"/>
                <w:sz w:val="21"/>
                <w:szCs w:val="21"/>
                <w:highlight w:val="none"/>
              </w:rPr>
            </w:pPr>
            <w:r>
              <w:rPr>
                <w:rFonts w:hint="eastAsia"/>
                <w:b/>
                <w:bCs/>
                <w:color w:val="auto"/>
                <w:sz w:val="21"/>
                <w:szCs w:val="21"/>
                <w:highlight w:val="none"/>
                <w:lang w:val="en-US" w:eastAsia="zh-CN"/>
              </w:rPr>
              <w:t xml:space="preserve">图1  现有工程水量平衡图  </w:t>
            </w:r>
            <w:r>
              <w:rPr>
                <w:b/>
                <w:bCs/>
                <w:color w:val="auto"/>
                <w:sz w:val="21"/>
                <w:szCs w:val="21"/>
                <w:highlight w:val="none"/>
              </w:rPr>
              <w:t>单位：m</w:t>
            </w:r>
            <w:r>
              <w:rPr>
                <w:b/>
                <w:bCs/>
                <w:color w:val="auto"/>
                <w:sz w:val="21"/>
                <w:szCs w:val="21"/>
                <w:highlight w:val="none"/>
                <w:vertAlign w:val="superscript"/>
              </w:rPr>
              <w:t>3</w:t>
            </w:r>
            <w:r>
              <w:rPr>
                <w:b/>
                <w:bCs/>
                <w:color w:val="auto"/>
                <w:sz w:val="21"/>
                <w:szCs w:val="21"/>
                <w:highlight w:val="none"/>
              </w:rPr>
              <w:t>/d</w:t>
            </w:r>
          </w:p>
          <w:p>
            <w:pPr>
              <w:bidi w:val="0"/>
              <w:rPr>
                <w:rFonts w:hint="default"/>
                <w:color w:val="auto"/>
                <w:sz w:val="24"/>
                <w:szCs w:val="24"/>
                <w:highlight w:val="none"/>
                <w:lang w:val="en-US"/>
              </w:rPr>
            </w:pPr>
            <w:r>
              <w:rPr>
                <w:rFonts w:hint="default"/>
                <w:color w:val="auto"/>
                <w:sz w:val="24"/>
                <w:szCs w:val="24"/>
                <w:highlight w:val="none"/>
              </w:rPr>
              <w:t>取暖：</w:t>
            </w:r>
            <w:r>
              <w:rPr>
                <w:rFonts w:hint="eastAsia"/>
                <w:color w:val="auto"/>
                <w:highlight w:val="none"/>
                <w:lang w:val="en-US" w:eastAsia="zh-CN"/>
              </w:rPr>
              <w:t>现有工程生产区域不设取暖设施，办公取暖采用单体空调，以电为能源。</w:t>
            </w:r>
          </w:p>
          <w:p>
            <w:pPr>
              <w:bidi w:val="0"/>
              <w:rPr>
                <w:rFonts w:hint="default"/>
                <w:color w:val="auto"/>
                <w:sz w:val="24"/>
                <w:szCs w:val="24"/>
                <w:highlight w:val="none"/>
                <w:lang w:val="en-US" w:eastAsia="zh-CN"/>
              </w:rPr>
            </w:pPr>
            <w:r>
              <w:rPr>
                <w:rFonts w:hint="eastAsia"/>
                <w:color w:val="auto"/>
                <w:sz w:val="24"/>
                <w:szCs w:val="24"/>
                <w:highlight w:val="none"/>
                <w:lang w:val="en-US" w:eastAsia="zh-CN"/>
              </w:rPr>
              <w:t>9、生产工艺流程</w:t>
            </w:r>
          </w:p>
          <w:p>
            <w:pPr>
              <w:spacing w:line="480" w:lineRule="exact"/>
              <w:ind w:firstLine="480" w:firstLineChars="200"/>
              <w:rPr>
                <w:rFonts w:ascii="Times New Roman" w:hAnsi="Times New Roman" w:eastAsia="宋体"/>
                <w:color w:val="auto"/>
                <w:sz w:val="24"/>
                <w:szCs w:val="30"/>
              </w:rPr>
            </w:pPr>
            <w:r>
              <w:rPr>
                <w:rFonts w:hint="eastAsia"/>
                <w:color w:val="auto"/>
                <w:highlight w:val="none"/>
                <w:lang w:val="en-US" w:eastAsia="zh-CN"/>
              </w:rPr>
              <w:t>现有工程主要生产</w:t>
            </w:r>
            <w:r>
              <w:rPr>
                <w:rFonts w:ascii="Times New Roman" w:hAnsi="Times New Roman" w:eastAsia="宋体"/>
                <w:color w:val="auto"/>
                <w:sz w:val="24"/>
                <w:szCs w:val="30"/>
              </w:rPr>
              <w:t>石墨烯</w:t>
            </w:r>
            <w:r>
              <w:rPr>
                <w:rFonts w:hint="eastAsia" w:ascii="Times New Roman" w:hAnsi="Times New Roman" w:eastAsia="宋体"/>
                <w:color w:val="auto"/>
                <w:sz w:val="24"/>
                <w:szCs w:val="30"/>
              </w:rPr>
              <w:t>电发热</w:t>
            </w:r>
            <w:r>
              <w:rPr>
                <w:rFonts w:ascii="Times New Roman" w:hAnsi="Times New Roman" w:eastAsia="宋体"/>
                <w:color w:val="auto"/>
                <w:sz w:val="24"/>
                <w:szCs w:val="30"/>
              </w:rPr>
              <w:t>元件</w:t>
            </w:r>
            <w:r>
              <w:rPr>
                <w:rFonts w:hint="eastAsia"/>
                <w:color w:val="auto"/>
                <w:sz w:val="24"/>
                <w:szCs w:val="30"/>
                <w:lang w:eastAsia="zh-CN"/>
              </w:rPr>
              <w:t>（</w:t>
            </w:r>
            <w:r>
              <w:rPr>
                <w:rFonts w:hint="eastAsia"/>
                <w:color w:val="auto"/>
                <w:sz w:val="24"/>
                <w:szCs w:val="30"/>
                <w:lang w:val="en-US" w:eastAsia="zh-CN"/>
              </w:rPr>
              <w:t>石墨烯电发热体</w:t>
            </w:r>
            <w:r>
              <w:rPr>
                <w:rFonts w:hint="eastAsia"/>
                <w:color w:val="auto"/>
                <w:sz w:val="24"/>
                <w:szCs w:val="30"/>
                <w:lang w:eastAsia="zh-CN"/>
              </w:rPr>
              <w:t>）</w:t>
            </w:r>
            <w:r>
              <w:rPr>
                <w:rFonts w:ascii="Times New Roman" w:hAnsi="Times New Roman" w:eastAsia="宋体"/>
                <w:color w:val="auto"/>
                <w:sz w:val="24"/>
                <w:szCs w:val="30"/>
              </w:rPr>
              <w:t>，生产工艺流程如下：</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本项目石墨烯电发热</w:t>
            </w:r>
            <w:r>
              <w:rPr>
                <w:rFonts w:ascii="Times New Roman" w:hAnsi="Times New Roman" w:eastAsia="宋体" w:cstheme="minorEastAsia"/>
                <w:color w:val="auto"/>
                <w:sz w:val="24"/>
              </w:rPr>
              <w:t>元件</w:t>
            </w:r>
            <w:r>
              <w:rPr>
                <w:rFonts w:hint="eastAsia" w:ascii="Times New Roman" w:hAnsi="Times New Roman" w:eastAsia="宋体" w:cstheme="minorEastAsia"/>
                <w:color w:val="auto"/>
                <w:sz w:val="24"/>
              </w:rPr>
              <w:t>主要以石英管、云母板、镀膜液、电极银浆等为原料，经过镀膜、冷却、印电极、烘干、烧结还原、冷却、组装等工艺进行生产，其中镀膜液、电极银浆采购已配制好的成品，不在厂内调配，可以直接用于生产。具体生产工艺如下：</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①购置原料：将购置的原料（石英管、云母板、镀膜液、电极银浆等）由汽车运输至厂内，存入生产车间内原料区。</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②镀膜：本项目使用的镀膜液为桶装包装液体，成分为醋酸锌、醋酸铝、氯化镍、氯化钾、氢氟酸以及酒精。</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生产时，石墨烯由研磨机研磨成纳米级，研磨过程为真空加湿研磨，研磨后由人工将镀膜液与石墨烯一起倒入容积约为200m</w:t>
            </w:r>
            <w:r>
              <w:rPr>
                <w:rFonts w:hint="eastAsia" w:ascii="Times New Roman" w:hAnsi="Times New Roman" w:eastAsia="宋体" w:cstheme="minorEastAsia"/>
                <w:color w:val="auto"/>
                <w:sz w:val="24"/>
                <w:lang w:val="en-US" w:eastAsia="zh-CN"/>
              </w:rPr>
              <w:t>L</w:t>
            </w:r>
            <w:r>
              <w:rPr>
                <w:rFonts w:hint="eastAsia" w:ascii="Times New Roman" w:hAnsi="Times New Roman" w:eastAsia="宋体" w:cstheme="minorEastAsia"/>
                <w:color w:val="auto"/>
                <w:sz w:val="24"/>
              </w:rPr>
              <w:t>的玻璃容器内，</w:t>
            </w:r>
            <w:r>
              <w:rPr>
                <w:rFonts w:hint="eastAsia"/>
                <w:color w:val="auto"/>
                <w:lang w:val="en-US" w:eastAsia="zh-CN"/>
              </w:rPr>
              <w:t>调配成使用的镀膜液。</w:t>
            </w:r>
            <w:r>
              <w:rPr>
                <w:rFonts w:hint="eastAsia" w:ascii="Times New Roman" w:hAnsi="Times New Roman" w:eastAsia="宋体" w:cstheme="minorEastAsia"/>
                <w:color w:val="auto"/>
                <w:sz w:val="24"/>
                <w:highlight w:val="none"/>
              </w:rPr>
              <w:t>将石英管或云母板人工放置在封闭镀膜机（蒸镀炉或喷镀炉）</w:t>
            </w:r>
            <w:r>
              <w:rPr>
                <w:rFonts w:hint="eastAsia" w:ascii="Times New Roman" w:hAnsi="Times New Roman" w:eastAsia="宋体" w:cstheme="minorEastAsia"/>
                <w:color w:val="auto"/>
                <w:sz w:val="24"/>
              </w:rPr>
              <w:t>内。待石英管或云母板置于镀膜机内后，设备通过电加热方式开始预热升温，当设备内温度达到600℃时，开始镀膜。</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蒸镀过程：当蒸镀炉内温度达到600</w:t>
            </w:r>
            <w:r>
              <w:rPr>
                <w:rFonts w:hint="default" w:ascii="Times New Roman" w:hAnsi="Times New Roman" w:eastAsia="宋体" w:cs="Times New Roman"/>
                <w:color w:val="auto"/>
                <w:sz w:val="24"/>
              </w:rPr>
              <w:t>℃</w:t>
            </w:r>
            <w:r>
              <w:rPr>
                <w:rFonts w:hint="eastAsia" w:ascii="Times New Roman" w:hAnsi="Times New Roman" w:eastAsia="宋体" w:cstheme="minorEastAsia"/>
                <w:color w:val="auto"/>
                <w:sz w:val="24"/>
              </w:rPr>
              <w:t>时，通过中低温将托盘中的镀膜液蒸发，从而吸附到石英管表面，形成导电薄膜。</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喷镀过程：当喷镀炉内温度达到600</w:t>
            </w:r>
            <w:r>
              <w:rPr>
                <w:rFonts w:hint="default" w:ascii="Times New Roman" w:hAnsi="Times New Roman" w:eastAsia="宋体" w:cs="Times New Roman"/>
                <w:color w:val="auto"/>
                <w:sz w:val="24"/>
              </w:rPr>
              <w:t>℃</w:t>
            </w:r>
            <w:r>
              <w:rPr>
                <w:rFonts w:hint="eastAsia" w:ascii="Times New Roman" w:hAnsi="Times New Roman" w:eastAsia="宋体" w:cstheme="minorEastAsia"/>
                <w:color w:val="auto"/>
                <w:sz w:val="24"/>
              </w:rPr>
              <w:t>时，通过喷射装置自下而上将镀膜液均匀的喷涂到石英管上。</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镀膜时，玻璃容器内的镀膜液利用空气压缩机提供的空气动力，通过气动软管在0.7MPa压力下由设置在镀膜机内部的可移动式喷头喷出，并落至石英管或云母板基体外表面（喷头固定在可移动轨道上，可实现喷头在基体表面的移动）。镀膜过程是在高温条件下进行的，镀膜液喷出后气化形成烟雾，当蒸汽接触加热的基体（石英管或云母板）时，在其表面发生水解反应，在基体的表面形成石墨烯——锌铝镍钾多元复合金属薄膜。</w:t>
            </w:r>
          </w:p>
          <w:p>
            <w:pPr>
              <w:spacing w:line="480" w:lineRule="exact"/>
              <w:ind w:firstLine="480" w:firstLineChars="200"/>
              <w:rPr>
                <w:rFonts w:ascii="Times New Roman" w:hAnsi="Times New Roman" w:eastAsia="宋体" w:cstheme="minorEastAsia"/>
                <w:color w:val="auto"/>
                <w:sz w:val="24"/>
              </w:rPr>
            </w:pPr>
            <w:r>
              <w:rPr>
                <w:rFonts w:hint="eastAsia" w:ascii="Times New Roman" w:hAnsi="Times New Roman" w:eastAsia="宋体" w:cstheme="minorEastAsia"/>
                <w:color w:val="auto"/>
                <w:sz w:val="24"/>
              </w:rPr>
              <w:t>其镀膜原理为：</w:t>
            </w:r>
            <w:r>
              <w:rPr>
                <w:rFonts w:hint="eastAsia" w:ascii="Times New Roman" w:hAnsi="Times New Roman" w:eastAsia="宋体" w:cstheme="minorEastAsia"/>
                <w:color w:val="auto"/>
                <w:sz w:val="24"/>
                <w:lang w:val="en-US" w:eastAsia="zh-CN"/>
              </w:rPr>
              <w:t>(</w:t>
            </w:r>
            <w:r>
              <w:rPr>
                <w:rFonts w:hint="eastAsia" w:ascii="Times New Roman" w:hAnsi="Times New Roman" w:eastAsia="宋体" w:cstheme="minorEastAsia"/>
                <w:color w:val="auto"/>
                <w:sz w:val="24"/>
              </w:rPr>
              <w:t>CH</w:t>
            </w:r>
            <w:r>
              <w:rPr>
                <w:rFonts w:hint="eastAsia" w:ascii="Times New Roman" w:hAnsi="Times New Roman" w:eastAsia="宋体" w:cstheme="minorEastAsia"/>
                <w:color w:val="auto"/>
                <w:sz w:val="24"/>
                <w:vertAlign w:val="subscript"/>
              </w:rPr>
              <w:t>3</w:t>
            </w:r>
            <w:r>
              <w:rPr>
                <w:rFonts w:hint="eastAsia" w:ascii="Times New Roman" w:hAnsi="Times New Roman" w:eastAsia="宋体" w:cstheme="minorEastAsia"/>
                <w:color w:val="auto"/>
                <w:sz w:val="24"/>
              </w:rPr>
              <w:t>COO</w:t>
            </w:r>
            <w:r>
              <w:rPr>
                <w:rFonts w:hint="eastAsia" w:ascii="Times New Roman" w:hAnsi="Times New Roman" w:eastAsia="宋体" w:cstheme="minorEastAsia"/>
                <w:color w:val="auto"/>
                <w:sz w:val="24"/>
                <w:lang w:val="en-US" w:eastAsia="zh-CN"/>
              </w:rPr>
              <w:t>)</w:t>
            </w:r>
            <w:r>
              <w:rPr>
                <w:rFonts w:hint="eastAsia" w:ascii="Times New Roman" w:hAnsi="Times New Roman" w:eastAsia="宋体" w:cstheme="minorEastAsia"/>
                <w:color w:val="auto"/>
                <w:sz w:val="24"/>
                <w:vertAlign w:val="subscript"/>
              </w:rPr>
              <w:t>2</w:t>
            </w:r>
            <w:r>
              <w:rPr>
                <w:rFonts w:hint="eastAsia" w:ascii="Times New Roman" w:hAnsi="Times New Roman" w:eastAsia="宋体" w:cstheme="minorEastAsia"/>
                <w:color w:val="auto"/>
                <w:sz w:val="24"/>
              </w:rPr>
              <w:t>Zn、C</w:t>
            </w:r>
            <w:r>
              <w:rPr>
                <w:rFonts w:hint="eastAsia" w:ascii="Times New Roman" w:hAnsi="Times New Roman" w:eastAsia="宋体" w:cstheme="minorEastAsia"/>
                <w:color w:val="auto"/>
                <w:sz w:val="24"/>
                <w:vertAlign w:val="subscript"/>
              </w:rPr>
              <w:t>6</w:t>
            </w:r>
            <w:r>
              <w:rPr>
                <w:rFonts w:hint="eastAsia" w:ascii="Times New Roman" w:hAnsi="Times New Roman" w:eastAsia="宋体" w:cstheme="minorEastAsia"/>
                <w:color w:val="auto"/>
                <w:sz w:val="24"/>
              </w:rPr>
              <w:t>H</w:t>
            </w:r>
            <w:r>
              <w:rPr>
                <w:rFonts w:hint="eastAsia" w:ascii="Times New Roman" w:hAnsi="Times New Roman" w:eastAsia="宋体" w:cstheme="minorEastAsia"/>
                <w:color w:val="auto"/>
                <w:sz w:val="24"/>
                <w:vertAlign w:val="subscript"/>
              </w:rPr>
              <w:t>9</w:t>
            </w:r>
            <w:r>
              <w:rPr>
                <w:rFonts w:hint="eastAsia" w:ascii="Times New Roman" w:hAnsi="Times New Roman" w:eastAsia="宋体" w:cstheme="minorEastAsia"/>
                <w:color w:val="auto"/>
                <w:sz w:val="24"/>
              </w:rPr>
              <w:t>A1O</w:t>
            </w:r>
            <w:r>
              <w:rPr>
                <w:rFonts w:hint="eastAsia" w:ascii="Times New Roman" w:hAnsi="Times New Roman" w:eastAsia="宋体" w:cstheme="minorEastAsia"/>
                <w:color w:val="auto"/>
                <w:sz w:val="24"/>
                <w:vertAlign w:val="subscript"/>
              </w:rPr>
              <w:t>6</w:t>
            </w:r>
            <w:r>
              <w:rPr>
                <w:rFonts w:hint="eastAsia" w:ascii="Times New Roman" w:hAnsi="Times New Roman" w:eastAsia="宋体" w:cstheme="minorEastAsia"/>
                <w:color w:val="auto"/>
                <w:sz w:val="24"/>
              </w:rPr>
              <w:t>、NiC1</w:t>
            </w:r>
            <w:r>
              <w:rPr>
                <w:rFonts w:hint="eastAsia" w:ascii="Times New Roman" w:hAnsi="Times New Roman" w:eastAsia="宋体" w:cstheme="minorEastAsia"/>
                <w:color w:val="auto"/>
                <w:sz w:val="24"/>
                <w:vertAlign w:val="subscript"/>
              </w:rPr>
              <w:t>2</w:t>
            </w:r>
            <w:r>
              <w:rPr>
                <w:rFonts w:hint="eastAsia" w:ascii="Times New Roman" w:hAnsi="Times New Roman" w:eastAsia="宋体" w:cstheme="minorEastAsia"/>
                <w:color w:val="auto"/>
                <w:sz w:val="24"/>
              </w:rPr>
              <w:t>、KC1的酸溶液在600</w:t>
            </w:r>
            <w:r>
              <w:rPr>
                <w:rFonts w:hint="default" w:ascii="Times New Roman" w:hAnsi="Times New Roman" w:eastAsia="宋体" w:cs="Times New Roman"/>
                <w:color w:val="auto"/>
                <w:sz w:val="24"/>
              </w:rPr>
              <w:t>℃</w:t>
            </w:r>
            <w:r>
              <w:rPr>
                <w:rFonts w:hint="eastAsia" w:ascii="Times New Roman" w:hAnsi="Times New Roman" w:eastAsia="宋体" w:cstheme="minorEastAsia"/>
                <w:color w:val="auto"/>
                <w:sz w:val="24"/>
              </w:rPr>
              <w:t>条件下，气化形成烟雾，在加热的基体表面发生水解反应：</w:t>
            </w:r>
          </w:p>
          <w:p>
            <w:pPr>
              <w:spacing w:line="480" w:lineRule="exact"/>
              <w:jc w:val="center"/>
              <w:rPr>
                <w:rFonts w:ascii="Times New Roman" w:hAnsi="Times New Roman" w:eastAsia="宋体" w:cstheme="minorEastAsia"/>
                <w:color w:val="auto"/>
                <w:sz w:val="24"/>
              </w:rPr>
            </w:pPr>
            <w:r>
              <w:rPr>
                <w:rFonts w:hint="eastAsia" w:ascii="Times New Roman" w:hAnsi="Times New Roman" w:eastAsia="宋体" w:cstheme="minorEastAsia"/>
                <w:color w:val="auto"/>
                <w:sz w:val="24"/>
              </w:rPr>
              <w:t>(CH</w:t>
            </w:r>
            <w:r>
              <w:rPr>
                <w:rFonts w:hint="eastAsia" w:ascii="Times New Roman" w:hAnsi="Times New Roman" w:eastAsia="宋体" w:cstheme="minorEastAsia"/>
                <w:color w:val="auto"/>
                <w:sz w:val="24"/>
                <w:vertAlign w:val="subscript"/>
              </w:rPr>
              <w:t>3</w:t>
            </w:r>
            <w:r>
              <w:rPr>
                <w:rFonts w:hint="eastAsia" w:ascii="Times New Roman" w:hAnsi="Times New Roman" w:eastAsia="宋体" w:cstheme="minorEastAsia"/>
                <w:color w:val="auto"/>
                <w:sz w:val="24"/>
              </w:rPr>
              <w:t>COO)</w:t>
            </w:r>
            <w:r>
              <w:rPr>
                <w:rFonts w:hint="eastAsia" w:ascii="Times New Roman" w:hAnsi="Times New Roman" w:eastAsia="宋体" w:cstheme="minorEastAsia"/>
                <w:color w:val="auto"/>
                <w:sz w:val="24"/>
                <w:vertAlign w:val="subscript"/>
              </w:rPr>
              <w:t>2</w:t>
            </w:r>
            <w:r>
              <w:rPr>
                <w:rFonts w:hint="eastAsia" w:ascii="Times New Roman" w:hAnsi="Times New Roman" w:eastAsia="宋体" w:cstheme="minorEastAsia"/>
                <w:color w:val="auto"/>
                <w:sz w:val="24"/>
              </w:rPr>
              <w:t>Zn</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O→ZnO+2CH</w:t>
            </w:r>
            <w:r>
              <w:rPr>
                <w:rFonts w:ascii="Times New Roman" w:hAnsi="Times New Roman" w:eastAsia="宋体" w:cstheme="minorEastAsia"/>
                <w:color w:val="auto"/>
                <w:sz w:val="24"/>
                <w:vertAlign w:val="subscript"/>
              </w:rPr>
              <w:t>3</w:t>
            </w:r>
            <w:r>
              <w:rPr>
                <w:rFonts w:ascii="Times New Roman" w:hAnsi="Times New Roman" w:eastAsia="宋体" w:cstheme="minorEastAsia"/>
                <w:color w:val="auto"/>
                <w:sz w:val="24"/>
              </w:rPr>
              <w:t>COOH</w:t>
            </w:r>
          </w:p>
          <w:p>
            <w:pPr>
              <w:spacing w:line="480" w:lineRule="exact"/>
              <w:jc w:val="center"/>
              <w:rPr>
                <w:rFonts w:ascii="Times New Roman" w:hAnsi="Times New Roman" w:eastAsia="宋体" w:cstheme="minorEastAsia"/>
                <w:color w:val="auto"/>
                <w:sz w:val="24"/>
              </w:rPr>
            </w:pPr>
            <w:r>
              <w:rPr>
                <w:rFonts w:ascii="Times New Roman" w:hAnsi="Times New Roman" w:eastAsia="宋体" w:cstheme="minorEastAsia"/>
                <w:color w:val="auto"/>
                <w:sz w:val="24"/>
              </w:rPr>
              <w:t>2</w:t>
            </w:r>
            <w:r>
              <w:rPr>
                <w:rFonts w:hint="eastAsia" w:ascii="Times New Roman" w:hAnsi="Times New Roman" w:eastAsia="宋体" w:cstheme="minorEastAsia"/>
                <w:color w:val="auto"/>
                <w:sz w:val="24"/>
              </w:rPr>
              <w:t>C</w:t>
            </w:r>
            <w:r>
              <w:rPr>
                <w:rFonts w:hint="eastAsia" w:ascii="Times New Roman" w:hAnsi="Times New Roman" w:eastAsia="宋体" w:cstheme="minorEastAsia"/>
                <w:color w:val="auto"/>
                <w:sz w:val="24"/>
                <w:vertAlign w:val="subscript"/>
              </w:rPr>
              <w:t>6</w:t>
            </w:r>
            <w:r>
              <w:rPr>
                <w:rFonts w:hint="eastAsia" w:ascii="Times New Roman" w:hAnsi="Times New Roman" w:eastAsia="宋体" w:cstheme="minorEastAsia"/>
                <w:color w:val="auto"/>
                <w:sz w:val="24"/>
              </w:rPr>
              <w:t>H</w:t>
            </w:r>
            <w:r>
              <w:rPr>
                <w:rFonts w:hint="eastAsia" w:ascii="Times New Roman" w:hAnsi="Times New Roman" w:eastAsia="宋体" w:cstheme="minorEastAsia"/>
                <w:color w:val="auto"/>
                <w:sz w:val="24"/>
                <w:vertAlign w:val="subscript"/>
              </w:rPr>
              <w:t>9</w:t>
            </w:r>
            <w:r>
              <w:rPr>
                <w:rFonts w:hint="eastAsia" w:ascii="Times New Roman" w:hAnsi="Times New Roman" w:eastAsia="宋体" w:cstheme="minorEastAsia"/>
                <w:color w:val="auto"/>
                <w:sz w:val="24"/>
              </w:rPr>
              <w:t>A1O</w:t>
            </w:r>
            <w:r>
              <w:rPr>
                <w:rFonts w:hint="eastAsia" w:ascii="Times New Roman" w:hAnsi="Times New Roman" w:eastAsia="宋体" w:cstheme="minorEastAsia"/>
                <w:color w:val="auto"/>
                <w:sz w:val="24"/>
                <w:vertAlign w:val="subscript"/>
              </w:rPr>
              <w:t>6</w:t>
            </w:r>
            <w:r>
              <w:rPr>
                <w:rFonts w:ascii="Times New Roman" w:hAnsi="Times New Roman" w:eastAsia="宋体" w:cstheme="minorEastAsia"/>
                <w:color w:val="auto"/>
                <w:sz w:val="24"/>
              </w:rPr>
              <w:t>+3H</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O→Al</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w:t>
            </w:r>
            <w:r>
              <w:rPr>
                <w:rFonts w:ascii="Times New Roman" w:hAnsi="Times New Roman" w:eastAsia="宋体" w:cstheme="minorEastAsia"/>
                <w:color w:val="auto"/>
                <w:sz w:val="24"/>
                <w:vertAlign w:val="subscript"/>
              </w:rPr>
              <w:t>3</w:t>
            </w:r>
            <w:r>
              <w:rPr>
                <w:rFonts w:ascii="Times New Roman" w:hAnsi="Times New Roman" w:eastAsia="宋体" w:cstheme="minorEastAsia"/>
                <w:color w:val="auto"/>
                <w:sz w:val="24"/>
              </w:rPr>
              <w:t>+6CH</w:t>
            </w:r>
            <w:r>
              <w:rPr>
                <w:rFonts w:ascii="Times New Roman" w:hAnsi="Times New Roman" w:eastAsia="宋体" w:cstheme="minorEastAsia"/>
                <w:color w:val="auto"/>
                <w:sz w:val="24"/>
                <w:vertAlign w:val="subscript"/>
              </w:rPr>
              <w:t>3</w:t>
            </w:r>
            <w:r>
              <w:rPr>
                <w:rFonts w:ascii="Times New Roman" w:hAnsi="Times New Roman" w:eastAsia="宋体" w:cstheme="minorEastAsia"/>
                <w:color w:val="auto"/>
                <w:sz w:val="24"/>
              </w:rPr>
              <w:t>COOH</w:t>
            </w:r>
          </w:p>
          <w:p>
            <w:pPr>
              <w:spacing w:line="480" w:lineRule="exact"/>
              <w:jc w:val="center"/>
              <w:rPr>
                <w:rFonts w:ascii="Times New Roman" w:hAnsi="Times New Roman" w:eastAsia="宋体" w:cstheme="minorEastAsia"/>
                <w:color w:val="auto"/>
                <w:sz w:val="24"/>
              </w:rPr>
            </w:pPr>
            <w:r>
              <w:rPr>
                <w:rFonts w:hint="eastAsia" w:ascii="Times New Roman" w:hAnsi="Times New Roman" w:eastAsia="宋体" w:cstheme="minorEastAsia"/>
                <w:color w:val="auto"/>
                <w:sz w:val="24"/>
              </w:rPr>
              <w:t>NiC1</w:t>
            </w:r>
            <w:r>
              <w:rPr>
                <w:rFonts w:hint="eastAsia"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O→NiO+2HCl</w:t>
            </w:r>
          </w:p>
          <w:p>
            <w:pPr>
              <w:spacing w:line="480" w:lineRule="exact"/>
              <w:jc w:val="center"/>
              <w:rPr>
                <w:rFonts w:ascii="Times New Roman" w:hAnsi="Times New Roman" w:eastAsia="宋体" w:cstheme="minorEastAsia"/>
                <w:color w:val="auto"/>
                <w:sz w:val="24"/>
              </w:rPr>
            </w:pPr>
            <w:r>
              <w:rPr>
                <w:rFonts w:ascii="Times New Roman" w:hAnsi="Times New Roman" w:eastAsia="宋体" w:cstheme="minorEastAsia"/>
                <w:color w:val="auto"/>
                <w:sz w:val="24"/>
              </w:rPr>
              <w:t>2KC</w:t>
            </w:r>
            <w:r>
              <w:rPr>
                <w:rFonts w:hint="eastAsia" w:ascii="Times New Roman" w:hAnsi="Times New Roman" w:eastAsia="宋体" w:cstheme="minorEastAsia"/>
                <w:color w:val="auto"/>
                <w:sz w:val="24"/>
              </w:rPr>
              <w:t>l</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O→K</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O+2HCl</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镀膜液</w:t>
            </w:r>
            <w:r>
              <w:rPr>
                <w:rFonts w:ascii="Times New Roman" w:hAnsi="Times New Roman" w:eastAsia="宋体"/>
                <w:color w:val="auto"/>
                <w:sz w:val="24"/>
                <w:szCs w:val="30"/>
              </w:rPr>
              <w:t>中添加氢氟酸和酒精，可以防止</w:t>
            </w:r>
            <w:r>
              <w:rPr>
                <w:rFonts w:hint="eastAsia" w:ascii="Times New Roman" w:hAnsi="Times New Roman" w:eastAsia="宋体"/>
                <w:color w:val="auto"/>
                <w:sz w:val="24"/>
                <w:szCs w:val="30"/>
              </w:rPr>
              <w:t>溶液</w:t>
            </w:r>
            <w:r>
              <w:rPr>
                <w:rFonts w:ascii="Times New Roman" w:hAnsi="Times New Roman" w:eastAsia="宋体"/>
                <w:color w:val="auto"/>
                <w:sz w:val="24"/>
                <w:szCs w:val="30"/>
              </w:rPr>
              <w:t>发生水解反应生成金属氧化物沉淀，同时，醋酸和酒精可以进行酯化反应：</w:t>
            </w:r>
          </w:p>
          <w:p>
            <w:pPr>
              <w:spacing w:line="480" w:lineRule="exact"/>
              <w:jc w:val="center"/>
              <w:rPr>
                <w:rFonts w:ascii="Times New Roman" w:hAnsi="Times New Roman" w:eastAsia="宋体" w:cstheme="minorEastAsia"/>
                <w:color w:val="auto"/>
                <w:sz w:val="24"/>
              </w:rPr>
            </w:pPr>
            <w:r>
              <w:rPr>
                <w:rFonts w:ascii="Times New Roman" w:hAnsi="Times New Roman" w:eastAsia="宋体" w:cstheme="minorEastAsia"/>
                <w:color w:val="auto"/>
                <w:sz w:val="24"/>
              </w:rPr>
              <w:t>CH</w:t>
            </w:r>
            <w:r>
              <w:rPr>
                <w:rFonts w:ascii="Times New Roman" w:hAnsi="Times New Roman" w:eastAsia="宋体" w:cstheme="minorEastAsia"/>
                <w:color w:val="auto"/>
                <w:sz w:val="24"/>
                <w:vertAlign w:val="subscript"/>
              </w:rPr>
              <w:t>3</w:t>
            </w:r>
            <w:r>
              <w:rPr>
                <w:rFonts w:ascii="Times New Roman" w:hAnsi="Times New Roman" w:eastAsia="宋体" w:cstheme="minorEastAsia"/>
                <w:color w:val="auto"/>
                <w:sz w:val="24"/>
              </w:rPr>
              <w:t>COOH+C</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6</w:t>
            </w:r>
            <w:r>
              <w:rPr>
                <w:rFonts w:ascii="Times New Roman" w:hAnsi="Times New Roman" w:eastAsia="宋体" w:cstheme="minorEastAsia"/>
                <w:color w:val="auto"/>
                <w:sz w:val="24"/>
              </w:rPr>
              <w:t>O→CH</w:t>
            </w:r>
            <w:r>
              <w:rPr>
                <w:rFonts w:ascii="Times New Roman" w:hAnsi="Times New Roman" w:eastAsia="宋体" w:cstheme="minorEastAsia"/>
                <w:color w:val="auto"/>
                <w:sz w:val="24"/>
                <w:vertAlign w:val="subscript"/>
              </w:rPr>
              <w:t>3</w:t>
            </w:r>
            <w:r>
              <w:rPr>
                <w:rFonts w:ascii="Times New Roman" w:hAnsi="Times New Roman" w:eastAsia="宋体" w:cstheme="minorEastAsia"/>
                <w:color w:val="auto"/>
                <w:sz w:val="24"/>
              </w:rPr>
              <w:t>COOC</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5</w:t>
            </w:r>
            <w:r>
              <w:rPr>
                <w:rFonts w:ascii="Times New Roman" w:hAnsi="Times New Roman" w:eastAsia="宋体" w:cstheme="minorEastAsia"/>
                <w:color w:val="auto"/>
                <w:sz w:val="24"/>
              </w:rPr>
              <w:t>+H</w:t>
            </w:r>
            <w:r>
              <w:rPr>
                <w:rFonts w:ascii="Times New Roman" w:hAnsi="Times New Roman" w:eastAsia="宋体" w:cstheme="minorEastAsia"/>
                <w:color w:val="auto"/>
                <w:sz w:val="24"/>
                <w:vertAlign w:val="subscript"/>
              </w:rPr>
              <w:t>2</w:t>
            </w:r>
            <w:r>
              <w:rPr>
                <w:rFonts w:ascii="Times New Roman" w:hAnsi="Times New Roman" w:eastAsia="宋体" w:cstheme="minorEastAsia"/>
                <w:color w:val="auto"/>
                <w:sz w:val="24"/>
              </w:rPr>
              <w:t>O</w:t>
            </w:r>
          </w:p>
          <w:p>
            <w:pPr>
              <w:spacing w:line="480" w:lineRule="exact"/>
              <w:rPr>
                <w:rFonts w:ascii="Times New Roman" w:hAnsi="Times New Roman" w:eastAsia="宋体"/>
                <w:color w:val="auto"/>
                <w:sz w:val="24"/>
                <w:szCs w:val="30"/>
              </w:rPr>
            </w:pPr>
            <w:r>
              <w:rPr>
                <w:rFonts w:hint="eastAsia" w:ascii="Times New Roman" w:hAnsi="Times New Roman" w:eastAsia="宋体"/>
                <w:color w:val="auto"/>
                <w:sz w:val="24"/>
                <w:szCs w:val="30"/>
              </w:rPr>
              <w:t>反应</w:t>
            </w:r>
            <w:r>
              <w:rPr>
                <w:rFonts w:ascii="Times New Roman" w:hAnsi="Times New Roman" w:eastAsia="宋体"/>
                <w:color w:val="auto"/>
                <w:sz w:val="24"/>
                <w:szCs w:val="30"/>
              </w:rPr>
              <w:t>生成的水可以调节水解</w:t>
            </w:r>
            <w:r>
              <w:rPr>
                <w:rFonts w:hint="eastAsia" w:ascii="Times New Roman" w:hAnsi="Times New Roman" w:eastAsia="宋体"/>
                <w:color w:val="auto"/>
                <w:sz w:val="24"/>
                <w:szCs w:val="30"/>
              </w:rPr>
              <w:t>反应</w:t>
            </w:r>
            <w:r>
              <w:rPr>
                <w:rFonts w:ascii="Times New Roman" w:hAnsi="Times New Roman" w:eastAsia="宋体"/>
                <w:color w:val="auto"/>
                <w:sz w:val="24"/>
                <w:szCs w:val="30"/>
              </w:rPr>
              <w:t>的速度。</w:t>
            </w:r>
          </w:p>
          <w:p>
            <w:pPr>
              <w:spacing w:line="480" w:lineRule="exact"/>
              <w:ind w:firstLine="482" w:firstLineChars="200"/>
              <w:rPr>
                <w:rFonts w:ascii="Times New Roman" w:hAnsi="Times New Roman" w:eastAsia="宋体"/>
                <w:b/>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w:t>
            </w:r>
            <w:r>
              <w:rPr>
                <w:rFonts w:hint="eastAsia" w:ascii="Times New Roman" w:hAnsi="Times New Roman" w:eastAsia="宋体"/>
                <w:b/>
                <w:color w:val="auto"/>
                <w:sz w:val="24"/>
                <w:szCs w:val="30"/>
              </w:rPr>
              <w:t>镀膜</w:t>
            </w:r>
            <w:r>
              <w:rPr>
                <w:rFonts w:ascii="Times New Roman" w:hAnsi="Times New Roman" w:eastAsia="宋体"/>
                <w:b/>
                <w:color w:val="auto"/>
                <w:sz w:val="24"/>
                <w:szCs w:val="30"/>
              </w:rPr>
              <w:t>过程产生的废气，设备运行噪声，镀膜液包装桶。</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③冷却：</w:t>
            </w:r>
            <w:r>
              <w:rPr>
                <w:rFonts w:ascii="Times New Roman" w:hAnsi="Times New Roman" w:eastAsia="宋体"/>
                <w:color w:val="auto"/>
                <w:sz w:val="24"/>
                <w:szCs w:val="30"/>
              </w:rPr>
              <w:t>镀膜完成后，打开镀膜机，</w:t>
            </w:r>
            <w:r>
              <w:rPr>
                <w:rFonts w:hint="eastAsia" w:ascii="Times New Roman" w:hAnsi="Times New Roman" w:eastAsia="宋体"/>
                <w:color w:val="auto"/>
                <w:sz w:val="24"/>
                <w:szCs w:val="30"/>
              </w:rPr>
              <w:t>使用</w:t>
            </w:r>
            <w:r>
              <w:rPr>
                <w:rFonts w:ascii="Times New Roman" w:hAnsi="Times New Roman" w:eastAsia="宋体"/>
                <w:color w:val="auto"/>
                <w:sz w:val="24"/>
                <w:szCs w:val="30"/>
              </w:rPr>
              <w:t>夹子将</w:t>
            </w:r>
            <w:r>
              <w:rPr>
                <w:rFonts w:hint="eastAsia" w:ascii="Times New Roman" w:hAnsi="Times New Roman" w:eastAsia="宋体"/>
                <w:color w:val="auto"/>
                <w:sz w:val="24"/>
                <w:szCs w:val="30"/>
              </w:rPr>
              <w:t>基体取出</w:t>
            </w:r>
            <w:r>
              <w:rPr>
                <w:rFonts w:ascii="Times New Roman" w:hAnsi="Times New Roman" w:eastAsia="宋体"/>
                <w:color w:val="auto"/>
                <w:sz w:val="24"/>
                <w:szCs w:val="30"/>
              </w:rPr>
              <w:t>，</w:t>
            </w:r>
            <w:r>
              <w:rPr>
                <w:rFonts w:hint="eastAsia" w:ascii="Times New Roman" w:hAnsi="Times New Roman" w:eastAsia="宋体"/>
                <w:color w:val="auto"/>
                <w:sz w:val="24"/>
                <w:szCs w:val="30"/>
              </w:rPr>
              <w:t>放置在托盘内通过风扇进行冷却；当产量较大时，一部分基体放置在冷却水箱内进行冷却</w:t>
            </w:r>
            <w:r>
              <w:rPr>
                <w:rFonts w:ascii="Times New Roman" w:hAnsi="Times New Roman" w:eastAsia="宋体"/>
                <w:color w:val="auto"/>
                <w:sz w:val="24"/>
                <w:szCs w:val="30"/>
              </w:rPr>
              <w:t>。</w:t>
            </w:r>
          </w:p>
          <w:p>
            <w:pPr>
              <w:spacing w:line="480" w:lineRule="exact"/>
              <w:ind w:firstLine="482" w:firstLineChars="200"/>
              <w:rPr>
                <w:rFonts w:ascii="Times New Roman" w:hAnsi="Times New Roman" w:eastAsia="宋体"/>
                <w:b/>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w:t>
            </w:r>
            <w:r>
              <w:rPr>
                <w:rFonts w:hint="eastAsia" w:ascii="Times New Roman" w:hAnsi="Times New Roman" w:eastAsia="宋体"/>
                <w:b/>
                <w:color w:val="auto"/>
                <w:sz w:val="24"/>
                <w:szCs w:val="30"/>
              </w:rPr>
              <w:t>冷却过程废水。</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④测试</w:t>
            </w:r>
            <w:r>
              <w:rPr>
                <w:rFonts w:ascii="Times New Roman" w:hAnsi="Times New Roman" w:eastAsia="宋体"/>
                <w:color w:val="auto"/>
                <w:sz w:val="24"/>
                <w:szCs w:val="30"/>
              </w:rPr>
              <w:t>：</w:t>
            </w:r>
            <w:r>
              <w:rPr>
                <w:rFonts w:hint="eastAsia" w:ascii="Times New Roman" w:hAnsi="Times New Roman" w:eastAsia="宋体"/>
                <w:color w:val="auto"/>
                <w:sz w:val="24"/>
                <w:szCs w:val="30"/>
              </w:rPr>
              <w:t>待</w:t>
            </w:r>
            <w:r>
              <w:rPr>
                <w:rFonts w:ascii="Times New Roman" w:hAnsi="Times New Roman" w:eastAsia="宋体"/>
                <w:color w:val="auto"/>
                <w:sz w:val="24"/>
                <w:szCs w:val="30"/>
              </w:rPr>
              <w:t>基体温度降至</w:t>
            </w:r>
            <w:r>
              <w:rPr>
                <w:rFonts w:hint="eastAsia" w:ascii="Times New Roman" w:hAnsi="Times New Roman" w:eastAsia="宋体"/>
                <w:color w:val="auto"/>
                <w:sz w:val="24"/>
                <w:szCs w:val="30"/>
              </w:rPr>
              <w:t>室温</w:t>
            </w:r>
            <w:r>
              <w:rPr>
                <w:rFonts w:ascii="Times New Roman" w:hAnsi="Times New Roman" w:eastAsia="宋体"/>
                <w:color w:val="auto"/>
                <w:sz w:val="24"/>
                <w:szCs w:val="30"/>
              </w:rPr>
              <w:t>后，</w:t>
            </w:r>
            <w:r>
              <w:rPr>
                <w:rFonts w:hint="eastAsia" w:ascii="Times New Roman" w:hAnsi="Times New Roman" w:eastAsia="宋体"/>
                <w:color w:val="auto"/>
                <w:sz w:val="24"/>
                <w:szCs w:val="30"/>
              </w:rPr>
              <w:t>取出</w:t>
            </w:r>
            <w:r>
              <w:rPr>
                <w:rFonts w:ascii="Times New Roman" w:hAnsi="Times New Roman" w:eastAsia="宋体"/>
                <w:color w:val="auto"/>
                <w:sz w:val="24"/>
                <w:szCs w:val="30"/>
              </w:rPr>
              <w:t>，人工采用万能电表测试电阻，判定功率大小。</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⑤</w:t>
            </w:r>
            <w:r>
              <w:rPr>
                <w:rFonts w:ascii="Times New Roman" w:hAnsi="Times New Roman" w:eastAsia="宋体"/>
                <w:color w:val="auto"/>
                <w:sz w:val="24"/>
                <w:szCs w:val="30"/>
              </w:rPr>
              <w:t>印电极：采用丝印机在镀膜后的基体上印刷电极银浆</w:t>
            </w:r>
            <w:r>
              <w:rPr>
                <w:rFonts w:hint="eastAsia" w:ascii="Times New Roman" w:hAnsi="Times New Roman" w:eastAsia="宋体"/>
                <w:color w:val="auto"/>
                <w:sz w:val="24"/>
                <w:szCs w:val="30"/>
              </w:rPr>
              <w:t>。</w:t>
            </w:r>
            <w:r>
              <w:rPr>
                <w:rFonts w:ascii="Times New Roman" w:hAnsi="Times New Roman" w:eastAsia="宋体"/>
                <w:color w:val="auto"/>
                <w:sz w:val="24"/>
                <w:szCs w:val="30"/>
              </w:rPr>
              <w:t>对于</w:t>
            </w:r>
            <w:r>
              <w:rPr>
                <w:rFonts w:hint="eastAsia" w:ascii="Times New Roman" w:hAnsi="Times New Roman" w:eastAsia="宋体"/>
                <w:color w:val="auto"/>
                <w:sz w:val="24"/>
                <w:szCs w:val="30"/>
              </w:rPr>
              <w:t>石英管</w:t>
            </w:r>
            <w:r>
              <w:rPr>
                <w:rFonts w:ascii="Times New Roman" w:hAnsi="Times New Roman" w:eastAsia="宋体"/>
                <w:color w:val="auto"/>
                <w:sz w:val="24"/>
                <w:szCs w:val="30"/>
              </w:rPr>
              <w:t>，管体较短的</w:t>
            </w:r>
            <w:r>
              <w:rPr>
                <w:rFonts w:hint="eastAsia" w:ascii="Times New Roman" w:hAnsi="Times New Roman" w:eastAsia="宋体"/>
                <w:color w:val="auto"/>
                <w:sz w:val="24"/>
                <w:szCs w:val="30"/>
              </w:rPr>
              <w:t>在</w:t>
            </w:r>
            <w:r>
              <w:rPr>
                <w:rFonts w:ascii="Times New Roman" w:hAnsi="Times New Roman" w:eastAsia="宋体"/>
                <w:color w:val="auto"/>
                <w:sz w:val="24"/>
                <w:szCs w:val="30"/>
              </w:rPr>
              <w:t>两端印刷两个约</w:t>
            </w:r>
            <w:r>
              <w:rPr>
                <w:rFonts w:hint="eastAsia" w:ascii="Times New Roman" w:hAnsi="Times New Roman" w:eastAsia="宋体"/>
                <w:color w:val="auto"/>
                <w:sz w:val="24"/>
                <w:szCs w:val="30"/>
              </w:rPr>
              <w:t>1.5</w:t>
            </w:r>
            <w:r>
              <w:rPr>
                <w:rFonts w:ascii="Times New Roman" w:hAnsi="Times New Roman" w:eastAsia="宋体"/>
                <w:color w:val="auto"/>
                <w:sz w:val="24"/>
                <w:szCs w:val="30"/>
              </w:rPr>
              <w:t>cm宽的</w:t>
            </w:r>
            <w:r>
              <w:rPr>
                <w:rFonts w:hint="eastAsia" w:ascii="Times New Roman" w:hAnsi="Times New Roman" w:eastAsia="宋体"/>
                <w:color w:val="auto"/>
                <w:sz w:val="24"/>
                <w:szCs w:val="30"/>
              </w:rPr>
              <w:t>环状</w:t>
            </w:r>
            <w:r>
              <w:rPr>
                <w:rFonts w:ascii="Times New Roman" w:hAnsi="Times New Roman" w:eastAsia="宋体"/>
                <w:color w:val="auto"/>
                <w:sz w:val="24"/>
                <w:szCs w:val="30"/>
              </w:rPr>
              <w:t>电极，管体较长的</w:t>
            </w:r>
            <w:r>
              <w:rPr>
                <w:rFonts w:hint="eastAsia" w:ascii="Times New Roman" w:hAnsi="Times New Roman" w:eastAsia="宋体"/>
                <w:color w:val="auto"/>
                <w:sz w:val="24"/>
                <w:szCs w:val="30"/>
              </w:rPr>
              <w:t>在</w:t>
            </w:r>
            <w:r>
              <w:rPr>
                <w:rFonts w:ascii="Times New Roman" w:hAnsi="Times New Roman" w:eastAsia="宋体"/>
                <w:color w:val="auto"/>
                <w:sz w:val="24"/>
                <w:szCs w:val="30"/>
              </w:rPr>
              <w:t>两端和中间印刷三个</w:t>
            </w:r>
            <w:r>
              <w:rPr>
                <w:rFonts w:hint="eastAsia" w:ascii="Times New Roman" w:hAnsi="Times New Roman" w:eastAsia="宋体"/>
                <w:color w:val="auto"/>
                <w:sz w:val="24"/>
                <w:szCs w:val="30"/>
              </w:rPr>
              <w:t>约1.5</w:t>
            </w:r>
            <w:r>
              <w:rPr>
                <w:rFonts w:ascii="Times New Roman" w:hAnsi="Times New Roman" w:eastAsia="宋体"/>
                <w:color w:val="auto"/>
                <w:sz w:val="24"/>
                <w:szCs w:val="30"/>
              </w:rPr>
              <w:t>cm宽的环状电极；云母板在</w:t>
            </w:r>
            <w:r>
              <w:rPr>
                <w:rFonts w:hint="eastAsia" w:ascii="Times New Roman" w:hAnsi="Times New Roman" w:eastAsia="宋体"/>
                <w:color w:val="auto"/>
                <w:sz w:val="24"/>
                <w:szCs w:val="30"/>
              </w:rPr>
              <w:t>板</w:t>
            </w:r>
            <w:r>
              <w:rPr>
                <w:rFonts w:ascii="Times New Roman" w:hAnsi="Times New Roman" w:eastAsia="宋体"/>
                <w:color w:val="auto"/>
                <w:sz w:val="24"/>
                <w:szCs w:val="30"/>
              </w:rPr>
              <w:t>面的两侧印刷两条约</w:t>
            </w:r>
            <w:r>
              <w:rPr>
                <w:rFonts w:hint="eastAsia" w:ascii="Times New Roman" w:hAnsi="Times New Roman" w:eastAsia="宋体"/>
                <w:color w:val="auto"/>
                <w:sz w:val="24"/>
                <w:szCs w:val="30"/>
              </w:rPr>
              <w:t>1.5</w:t>
            </w:r>
            <w:r>
              <w:rPr>
                <w:rFonts w:ascii="Times New Roman" w:hAnsi="Times New Roman" w:eastAsia="宋体"/>
                <w:color w:val="auto"/>
                <w:sz w:val="24"/>
                <w:szCs w:val="30"/>
              </w:rPr>
              <w:t>cm宽的条状电极。</w:t>
            </w:r>
          </w:p>
          <w:p>
            <w:pPr>
              <w:spacing w:line="480" w:lineRule="exact"/>
              <w:ind w:firstLine="482" w:firstLineChars="200"/>
              <w:rPr>
                <w:rFonts w:ascii="Times New Roman" w:hAnsi="Times New Roman" w:eastAsia="宋体"/>
                <w:b/>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：设备运行噪声</w:t>
            </w:r>
            <w:r>
              <w:rPr>
                <w:rFonts w:hint="eastAsia" w:ascii="Times New Roman" w:hAnsi="Times New Roman" w:eastAsia="宋体"/>
                <w:b/>
                <w:color w:val="auto"/>
                <w:sz w:val="24"/>
                <w:szCs w:val="30"/>
              </w:rPr>
              <w:t>，</w:t>
            </w:r>
            <w:r>
              <w:rPr>
                <w:rFonts w:ascii="Times New Roman" w:hAnsi="Times New Roman" w:eastAsia="宋体"/>
                <w:b/>
                <w:color w:val="auto"/>
                <w:sz w:val="24"/>
                <w:szCs w:val="30"/>
              </w:rPr>
              <w:t>电极银浆包装罐。</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⑥</w:t>
            </w:r>
            <w:r>
              <w:rPr>
                <w:rFonts w:ascii="Times New Roman" w:hAnsi="Times New Roman" w:eastAsia="宋体"/>
                <w:color w:val="auto"/>
                <w:sz w:val="24"/>
                <w:szCs w:val="30"/>
              </w:rPr>
              <w:t>烘干</w:t>
            </w:r>
            <w:r>
              <w:rPr>
                <w:rFonts w:hint="eastAsia" w:ascii="Times New Roman" w:hAnsi="Times New Roman" w:eastAsia="宋体"/>
                <w:color w:val="auto"/>
                <w:sz w:val="24"/>
                <w:szCs w:val="30"/>
              </w:rPr>
              <w:t>：电极</w:t>
            </w:r>
            <w:r>
              <w:rPr>
                <w:rFonts w:ascii="Times New Roman" w:hAnsi="Times New Roman" w:eastAsia="宋体"/>
                <w:color w:val="auto"/>
                <w:sz w:val="24"/>
                <w:szCs w:val="30"/>
              </w:rPr>
              <w:t>印刷完成后</w:t>
            </w:r>
            <w:r>
              <w:rPr>
                <w:rFonts w:hint="eastAsia" w:ascii="Times New Roman" w:hAnsi="Times New Roman" w:eastAsia="宋体"/>
                <w:color w:val="auto"/>
                <w:sz w:val="24"/>
                <w:szCs w:val="30"/>
              </w:rPr>
              <w:t>，</w:t>
            </w:r>
            <w:r>
              <w:rPr>
                <w:rFonts w:ascii="Times New Roman" w:hAnsi="Times New Roman" w:eastAsia="宋体"/>
                <w:color w:val="auto"/>
                <w:sz w:val="24"/>
                <w:szCs w:val="30"/>
              </w:rPr>
              <w:t>将基体置于置物架上，推入银浆烘干</w:t>
            </w:r>
            <w:r>
              <w:rPr>
                <w:rFonts w:hint="eastAsia"/>
                <w:color w:val="auto"/>
                <w:sz w:val="24"/>
                <w:szCs w:val="30"/>
                <w:lang w:val="en-US" w:eastAsia="zh-CN"/>
              </w:rPr>
              <w:t>炉</w:t>
            </w:r>
            <w:r>
              <w:rPr>
                <w:rFonts w:ascii="Times New Roman" w:hAnsi="Times New Roman" w:eastAsia="宋体"/>
                <w:color w:val="auto"/>
                <w:sz w:val="24"/>
                <w:szCs w:val="30"/>
              </w:rPr>
              <w:t>内进行烘干（</w:t>
            </w:r>
            <w:r>
              <w:rPr>
                <w:rFonts w:hint="eastAsia" w:ascii="Times New Roman" w:hAnsi="Times New Roman" w:eastAsia="宋体"/>
                <w:color w:val="auto"/>
                <w:sz w:val="24"/>
                <w:szCs w:val="30"/>
              </w:rPr>
              <w:t>电加热</w:t>
            </w:r>
            <w:r>
              <w:rPr>
                <w:rFonts w:ascii="Times New Roman" w:hAnsi="Times New Roman" w:eastAsia="宋体"/>
                <w:color w:val="auto"/>
                <w:sz w:val="24"/>
                <w:szCs w:val="30"/>
              </w:rPr>
              <w:t>）</w:t>
            </w:r>
            <w:r>
              <w:rPr>
                <w:rFonts w:hint="eastAsia" w:ascii="Times New Roman" w:hAnsi="Times New Roman" w:eastAsia="宋体"/>
                <w:color w:val="auto"/>
                <w:sz w:val="24"/>
                <w:szCs w:val="30"/>
              </w:rPr>
              <w:t>，使</w:t>
            </w:r>
            <w:r>
              <w:rPr>
                <w:rFonts w:ascii="Times New Roman" w:hAnsi="Times New Roman" w:eastAsia="宋体"/>
                <w:color w:val="auto"/>
                <w:sz w:val="24"/>
                <w:szCs w:val="30"/>
              </w:rPr>
              <w:t>银浆固化，烘干温度为</w:t>
            </w:r>
            <w:r>
              <w:rPr>
                <w:rFonts w:hint="eastAsia" w:ascii="Times New Roman" w:hAnsi="Times New Roman" w:eastAsia="宋体"/>
                <w:color w:val="auto"/>
                <w:sz w:val="24"/>
                <w:szCs w:val="30"/>
              </w:rPr>
              <w:t>200</w:t>
            </w:r>
            <w:r>
              <w:rPr>
                <w:rFonts w:hint="default" w:ascii="Times New Roman" w:hAnsi="Times New Roman" w:eastAsia="宋体" w:cs="Times New Roman"/>
                <w:color w:val="auto"/>
                <w:sz w:val="24"/>
                <w:szCs w:val="30"/>
              </w:rPr>
              <w:t>℃</w:t>
            </w:r>
            <w:r>
              <w:rPr>
                <w:rFonts w:ascii="Times New Roman" w:hAnsi="Times New Roman" w:eastAsia="宋体"/>
                <w:color w:val="auto"/>
                <w:sz w:val="24"/>
                <w:szCs w:val="30"/>
              </w:rPr>
              <w:t>，烘干时间为</w:t>
            </w:r>
            <w:r>
              <w:rPr>
                <w:rFonts w:hint="eastAsia" w:ascii="Times New Roman" w:hAnsi="Times New Roman" w:eastAsia="宋体"/>
                <w:color w:val="auto"/>
                <w:sz w:val="24"/>
                <w:szCs w:val="30"/>
              </w:rPr>
              <w:t>15分钟</w:t>
            </w:r>
            <w:r>
              <w:rPr>
                <w:rFonts w:ascii="Times New Roman" w:hAnsi="Times New Roman" w:eastAsia="宋体"/>
                <w:color w:val="auto"/>
                <w:sz w:val="24"/>
                <w:szCs w:val="30"/>
              </w:rPr>
              <w:t>，烘干完成后将置物架拉出。</w:t>
            </w:r>
          </w:p>
          <w:p>
            <w:pPr>
              <w:spacing w:line="480" w:lineRule="exact"/>
              <w:ind w:firstLine="482" w:firstLineChars="200"/>
              <w:rPr>
                <w:rFonts w:ascii="Times New Roman" w:hAnsi="Times New Roman" w:eastAsia="宋体"/>
                <w:b/>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：烘干过程</w:t>
            </w:r>
            <w:r>
              <w:rPr>
                <w:rFonts w:hint="eastAsia" w:ascii="Times New Roman" w:hAnsi="Times New Roman" w:eastAsia="宋体"/>
                <w:b/>
                <w:color w:val="auto"/>
                <w:sz w:val="24"/>
                <w:szCs w:val="30"/>
              </w:rPr>
              <w:t>产生</w:t>
            </w:r>
            <w:r>
              <w:rPr>
                <w:rFonts w:ascii="Times New Roman" w:hAnsi="Times New Roman" w:eastAsia="宋体"/>
                <w:b/>
                <w:color w:val="auto"/>
                <w:sz w:val="24"/>
                <w:szCs w:val="30"/>
              </w:rPr>
              <w:t>的废气，设备运行噪声。</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⑦</w:t>
            </w:r>
            <w:r>
              <w:rPr>
                <w:rFonts w:ascii="Times New Roman" w:hAnsi="Times New Roman" w:eastAsia="宋体"/>
                <w:color w:val="auto"/>
                <w:sz w:val="24"/>
                <w:szCs w:val="30"/>
              </w:rPr>
              <w:t>烧结还原：烘干完成后，基体</w:t>
            </w:r>
            <w:r>
              <w:rPr>
                <w:rFonts w:hint="eastAsia" w:ascii="Times New Roman" w:hAnsi="Times New Roman" w:eastAsia="宋体"/>
                <w:color w:val="auto"/>
                <w:sz w:val="24"/>
                <w:szCs w:val="30"/>
              </w:rPr>
              <w:t>再</w:t>
            </w:r>
            <w:r>
              <w:rPr>
                <w:rFonts w:ascii="Times New Roman" w:hAnsi="Times New Roman" w:eastAsia="宋体"/>
                <w:color w:val="auto"/>
                <w:sz w:val="24"/>
                <w:szCs w:val="30"/>
              </w:rPr>
              <w:t>进入半导体元件</w:t>
            </w:r>
            <w:r>
              <w:rPr>
                <w:rFonts w:hint="eastAsia"/>
                <w:color w:val="auto"/>
                <w:sz w:val="24"/>
                <w:szCs w:val="30"/>
                <w:lang w:val="en-US" w:eastAsia="zh-CN"/>
              </w:rPr>
              <w:t>烧</w:t>
            </w:r>
            <w:r>
              <w:rPr>
                <w:rFonts w:ascii="Times New Roman" w:hAnsi="Times New Roman" w:eastAsia="宋体"/>
                <w:color w:val="auto"/>
                <w:sz w:val="24"/>
                <w:szCs w:val="30"/>
              </w:rPr>
              <w:t>熔炉内进行烧结还原处理（</w:t>
            </w:r>
            <w:r>
              <w:rPr>
                <w:rFonts w:hint="eastAsia" w:ascii="Times New Roman" w:hAnsi="Times New Roman" w:eastAsia="宋体"/>
                <w:color w:val="auto"/>
                <w:sz w:val="24"/>
                <w:szCs w:val="30"/>
              </w:rPr>
              <w:t>电加热</w:t>
            </w:r>
            <w:r>
              <w:rPr>
                <w:rFonts w:ascii="Times New Roman" w:hAnsi="Times New Roman" w:eastAsia="宋体"/>
                <w:color w:val="auto"/>
                <w:sz w:val="24"/>
                <w:szCs w:val="30"/>
              </w:rPr>
              <w:t>）</w:t>
            </w:r>
            <w:r>
              <w:rPr>
                <w:rFonts w:hint="eastAsia" w:ascii="Times New Roman" w:hAnsi="Times New Roman" w:eastAsia="宋体"/>
                <w:color w:val="auto"/>
                <w:sz w:val="24"/>
                <w:szCs w:val="30"/>
              </w:rPr>
              <w:t>，</w:t>
            </w:r>
            <w:r>
              <w:rPr>
                <w:rFonts w:ascii="Times New Roman" w:hAnsi="Times New Roman" w:eastAsia="宋体"/>
                <w:color w:val="auto"/>
                <w:sz w:val="24"/>
                <w:szCs w:val="30"/>
              </w:rPr>
              <w:t>使银浆电极完全附着在基体表面，烧结温度为</w:t>
            </w:r>
            <w:r>
              <w:rPr>
                <w:rFonts w:hint="eastAsia" w:ascii="Times New Roman" w:hAnsi="Times New Roman" w:eastAsia="宋体"/>
                <w:color w:val="auto"/>
                <w:sz w:val="24"/>
                <w:szCs w:val="30"/>
              </w:rPr>
              <w:t>500</w:t>
            </w:r>
            <w:r>
              <w:rPr>
                <w:rFonts w:hint="default" w:ascii="Times New Roman" w:hAnsi="Times New Roman" w:eastAsia="宋体" w:cs="Times New Roman"/>
                <w:color w:val="auto"/>
                <w:sz w:val="24"/>
                <w:szCs w:val="30"/>
              </w:rPr>
              <w:t>℃</w:t>
            </w:r>
            <w:r>
              <w:rPr>
                <w:rFonts w:ascii="Times New Roman" w:hAnsi="Times New Roman" w:eastAsia="宋体"/>
                <w:color w:val="auto"/>
                <w:sz w:val="24"/>
                <w:szCs w:val="30"/>
              </w:rPr>
              <w:t>，时间为</w:t>
            </w:r>
            <w:r>
              <w:rPr>
                <w:rFonts w:hint="eastAsia" w:ascii="Times New Roman" w:hAnsi="Times New Roman" w:eastAsia="宋体"/>
                <w:color w:val="auto"/>
                <w:sz w:val="24"/>
                <w:szCs w:val="30"/>
              </w:rPr>
              <w:t>10分钟</w:t>
            </w:r>
            <w:r>
              <w:rPr>
                <w:rFonts w:ascii="Times New Roman" w:hAnsi="Times New Roman" w:eastAsia="宋体"/>
                <w:color w:val="auto"/>
                <w:sz w:val="24"/>
                <w:szCs w:val="30"/>
              </w:rPr>
              <w:t>，烧结完成后将基体</w:t>
            </w:r>
            <w:r>
              <w:rPr>
                <w:rFonts w:hint="eastAsia" w:ascii="Times New Roman" w:hAnsi="Times New Roman" w:eastAsia="宋体"/>
                <w:color w:val="auto"/>
                <w:sz w:val="24"/>
                <w:szCs w:val="30"/>
              </w:rPr>
              <w:t>取出</w:t>
            </w:r>
            <w:r>
              <w:rPr>
                <w:rFonts w:ascii="Times New Roman" w:hAnsi="Times New Roman" w:eastAsia="宋体"/>
                <w:color w:val="auto"/>
                <w:sz w:val="24"/>
                <w:szCs w:val="30"/>
              </w:rPr>
              <w:t>，自然冷却至室温。</w:t>
            </w:r>
          </w:p>
          <w:p>
            <w:pPr>
              <w:spacing w:line="480" w:lineRule="exact"/>
              <w:ind w:firstLine="482" w:firstLineChars="200"/>
              <w:rPr>
                <w:rFonts w:ascii="Times New Roman" w:hAnsi="Times New Roman" w:eastAsia="宋体"/>
                <w:b/>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w:t>
            </w:r>
            <w:r>
              <w:rPr>
                <w:rFonts w:hint="eastAsia" w:ascii="Times New Roman" w:hAnsi="Times New Roman" w:eastAsia="宋体"/>
                <w:b/>
                <w:color w:val="auto"/>
                <w:sz w:val="24"/>
                <w:szCs w:val="30"/>
              </w:rPr>
              <w:t>烧结</w:t>
            </w:r>
            <w:r>
              <w:rPr>
                <w:rFonts w:ascii="Times New Roman" w:hAnsi="Times New Roman" w:eastAsia="宋体"/>
                <w:b/>
                <w:color w:val="auto"/>
                <w:sz w:val="24"/>
                <w:szCs w:val="30"/>
              </w:rPr>
              <w:t>还原过程产生的废气，设备运行噪声。</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⑧覆膜、</w:t>
            </w:r>
            <w:r>
              <w:rPr>
                <w:rFonts w:ascii="Times New Roman" w:hAnsi="Times New Roman" w:eastAsia="宋体"/>
                <w:color w:val="auto"/>
                <w:sz w:val="24"/>
                <w:szCs w:val="30"/>
              </w:rPr>
              <w:t>组装：</w:t>
            </w:r>
            <w:r>
              <w:rPr>
                <w:rFonts w:hint="eastAsia" w:ascii="Times New Roman" w:hAnsi="Times New Roman" w:eastAsia="宋体"/>
                <w:color w:val="auto"/>
                <w:sz w:val="24"/>
                <w:szCs w:val="30"/>
              </w:rPr>
              <w:t>烧结还原完成后，由石英管制成的电发热元件基体由</w:t>
            </w:r>
            <w:r>
              <w:rPr>
                <w:rFonts w:ascii="Times New Roman" w:hAnsi="Times New Roman" w:eastAsia="宋体"/>
                <w:color w:val="auto"/>
                <w:sz w:val="24"/>
                <w:szCs w:val="30"/>
              </w:rPr>
              <w:t>人工采用螺丝等零件</w:t>
            </w:r>
            <w:r>
              <w:rPr>
                <w:rFonts w:hint="eastAsia" w:ascii="Times New Roman" w:hAnsi="Times New Roman" w:eastAsia="宋体"/>
                <w:color w:val="auto"/>
                <w:sz w:val="24"/>
                <w:szCs w:val="30"/>
              </w:rPr>
              <w:t>与</w:t>
            </w:r>
            <w:r>
              <w:rPr>
                <w:rFonts w:ascii="Times New Roman" w:hAnsi="Times New Roman" w:eastAsia="宋体"/>
                <w:color w:val="auto"/>
                <w:sz w:val="24"/>
                <w:szCs w:val="30"/>
              </w:rPr>
              <w:t>硅胶套、尼龙座等组装在一起</w:t>
            </w:r>
            <w:r>
              <w:rPr>
                <w:rFonts w:hint="eastAsia" w:ascii="Times New Roman" w:hAnsi="Times New Roman" w:eastAsia="宋体"/>
                <w:color w:val="auto"/>
                <w:sz w:val="24"/>
                <w:szCs w:val="30"/>
              </w:rPr>
              <w:t>即</w:t>
            </w:r>
            <w:r>
              <w:rPr>
                <w:rFonts w:ascii="Times New Roman" w:hAnsi="Times New Roman" w:eastAsia="宋体"/>
                <w:color w:val="auto"/>
                <w:sz w:val="24"/>
                <w:szCs w:val="30"/>
              </w:rPr>
              <w:t>得到石墨烯电发热元件</w:t>
            </w:r>
            <w:r>
              <w:rPr>
                <w:rFonts w:hint="eastAsia"/>
                <w:color w:val="auto"/>
                <w:sz w:val="24"/>
                <w:szCs w:val="30"/>
                <w:lang w:eastAsia="zh-CN"/>
              </w:rPr>
              <w:t>；</w:t>
            </w:r>
            <w:r>
              <w:rPr>
                <w:rFonts w:hint="eastAsia" w:ascii="Times New Roman" w:hAnsi="Times New Roman" w:eastAsia="宋体"/>
                <w:color w:val="auto"/>
                <w:sz w:val="24"/>
                <w:szCs w:val="30"/>
              </w:rPr>
              <w:t>由云母板制成的电发热元件基体送入覆膜机进行覆膜，覆膜时将基体与塑料薄膜对齐放入覆膜机入口处，随着覆膜机的滚动，逐渐将塑料薄膜覆盖到基体表面，形成一层防护膜。云母板制成的电发热元件基体覆膜完成后，由人工采用螺丝等零件将基体与硅胶套、尼龙座等组装在一起即得到石墨烯电发热元件，进入下一道工序。</w:t>
            </w:r>
          </w:p>
          <w:p>
            <w:pPr>
              <w:spacing w:line="480" w:lineRule="exact"/>
              <w:ind w:firstLine="482" w:firstLineChars="200"/>
              <w:rPr>
                <w:rFonts w:hint="eastAsia" w:ascii="Times New Roman" w:hAnsi="Times New Roman" w:eastAsia="宋体"/>
                <w:color w:val="auto"/>
                <w:sz w:val="24"/>
                <w:szCs w:val="30"/>
              </w:rPr>
            </w:pPr>
            <w:r>
              <w:rPr>
                <w:rFonts w:hint="eastAsia" w:ascii="Times New Roman" w:hAnsi="Times New Roman" w:eastAsia="宋体"/>
                <w:b/>
                <w:color w:val="auto"/>
                <w:sz w:val="24"/>
                <w:szCs w:val="30"/>
                <w:lang w:val="en-US" w:eastAsia="zh-CN"/>
              </w:rPr>
              <w:t>本工序产污节点主要为</w:t>
            </w:r>
            <w:r>
              <w:rPr>
                <w:rFonts w:ascii="Times New Roman" w:hAnsi="Times New Roman" w:eastAsia="宋体"/>
                <w:b/>
                <w:color w:val="auto"/>
                <w:sz w:val="24"/>
                <w:szCs w:val="30"/>
              </w:rPr>
              <w:t>：</w:t>
            </w:r>
            <w:r>
              <w:rPr>
                <w:rFonts w:hint="eastAsia" w:ascii="Times New Roman" w:hAnsi="Times New Roman"/>
                <w:b/>
                <w:color w:val="auto"/>
                <w:sz w:val="24"/>
                <w:szCs w:val="30"/>
                <w:lang w:val="en-US" w:eastAsia="zh-CN"/>
              </w:rPr>
              <w:t>生产过程产生的废包装物</w:t>
            </w:r>
            <w:r>
              <w:rPr>
                <w:rFonts w:ascii="Times New Roman" w:hAnsi="Times New Roman" w:eastAsia="宋体"/>
                <w:b/>
                <w:color w:val="auto"/>
                <w:sz w:val="24"/>
                <w:szCs w:val="30"/>
              </w:rPr>
              <w:t>。</w:t>
            </w:r>
          </w:p>
          <w:p>
            <w:pPr>
              <w:spacing w:line="480" w:lineRule="exact"/>
              <w:ind w:firstLine="480" w:firstLineChars="200"/>
              <w:rPr>
                <w:rFonts w:ascii="Times New Roman" w:hAnsi="Times New Roman" w:eastAsia="宋体"/>
                <w:color w:val="auto"/>
                <w:sz w:val="24"/>
                <w:szCs w:val="30"/>
              </w:rPr>
            </w:pPr>
            <w:r>
              <w:rPr>
                <w:rFonts w:hint="eastAsia" w:ascii="Times New Roman" w:hAnsi="Times New Roman" w:eastAsia="宋体"/>
                <w:color w:val="auto"/>
                <w:sz w:val="24"/>
                <w:szCs w:val="30"/>
              </w:rPr>
              <w:t>⑨</w:t>
            </w:r>
            <w:r>
              <w:rPr>
                <w:rFonts w:ascii="Times New Roman" w:hAnsi="Times New Roman" w:eastAsia="宋体"/>
                <w:color w:val="auto"/>
                <w:sz w:val="24"/>
                <w:szCs w:val="30"/>
              </w:rPr>
              <w:t>测试：</w:t>
            </w:r>
            <w:r>
              <w:rPr>
                <w:rFonts w:hint="eastAsia" w:ascii="Times New Roman" w:hAnsi="Times New Roman" w:eastAsia="宋体"/>
                <w:color w:val="auto"/>
                <w:sz w:val="24"/>
                <w:szCs w:val="30"/>
              </w:rPr>
              <w:t>采用</w:t>
            </w:r>
            <w:r>
              <w:rPr>
                <w:rFonts w:hint="eastAsia"/>
                <w:color w:val="auto"/>
                <w:sz w:val="24"/>
                <w:szCs w:val="30"/>
                <w:lang w:val="en-US" w:eastAsia="zh-CN"/>
              </w:rPr>
              <w:t>功率</w:t>
            </w:r>
            <w:r>
              <w:rPr>
                <w:rFonts w:ascii="Times New Roman" w:hAnsi="Times New Roman" w:eastAsia="宋体"/>
                <w:color w:val="auto"/>
                <w:sz w:val="24"/>
                <w:szCs w:val="30"/>
              </w:rPr>
              <w:t>测试台</w:t>
            </w:r>
            <w:r>
              <w:rPr>
                <w:rFonts w:hint="eastAsia" w:ascii="Times New Roman" w:hAnsi="Times New Roman" w:eastAsia="宋体"/>
                <w:color w:val="auto"/>
                <w:sz w:val="24"/>
                <w:szCs w:val="30"/>
              </w:rPr>
              <w:t>对</w:t>
            </w:r>
            <w:r>
              <w:rPr>
                <w:rFonts w:ascii="Times New Roman" w:hAnsi="Times New Roman" w:eastAsia="宋体"/>
                <w:color w:val="auto"/>
                <w:sz w:val="24"/>
                <w:szCs w:val="30"/>
              </w:rPr>
              <w:t>组装后的电发热元件进行</w:t>
            </w:r>
            <w:r>
              <w:rPr>
                <w:rFonts w:hint="eastAsia" w:ascii="Times New Roman" w:hAnsi="Times New Roman" w:eastAsia="宋体"/>
                <w:color w:val="auto"/>
                <w:sz w:val="24"/>
                <w:szCs w:val="30"/>
              </w:rPr>
              <w:t>功率</w:t>
            </w:r>
            <w:r>
              <w:rPr>
                <w:rFonts w:ascii="Times New Roman" w:hAnsi="Times New Roman" w:eastAsia="宋体"/>
                <w:color w:val="auto"/>
                <w:sz w:val="24"/>
                <w:szCs w:val="30"/>
              </w:rPr>
              <w:t>测试，并标记，即为成品，包装入库</w:t>
            </w:r>
            <w:r>
              <w:rPr>
                <w:rFonts w:hint="eastAsia" w:ascii="Times New Roman" w:hAnsi="Times New Roman" w:eastAsia="宋体"/>
                <w:color w:val="auto"/>
                <w:sz w:val="24"/>
                <w:szCs w:val="30"/>
              </w:rPr>
              <w:t>待售</w:t>
            </w:r>
            <w:r>
              <w:rPr>
                <w:rFonts w:ascii="Times New Roman" w:hAnsi="Times New Roman" w:eastAsia="宋体"/>
                <w:color w:val="auto"/>
                <w:sz w:val="24"/>
                <w:szCs w:val="30"/>
              </w:rPr>
              <w:t>。</w:t>
            </w:r>
          </w:p>
          <w:p>
            <w:pPr>
              <w:spacing w:line="480" w:lineRule="exact"/>
              <w:ind w:firstLine="480" w:firstLineChars="200"/>
              <w:rPr>
                <w:rFonts w:ascii="Times New Roman" w:hAnsi="Times New Roman" w:eastAsia="宋体"/>
                <w:color w:val="auto"/>
                <w:sz w:val="24"/>
                <w:szCs w:val="30"/>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auto"/>
                <w:sz w:val="24"/>
                <w:szCs w:val="30"/>
              </w:rPr>
            </w:pPr>
            <w:r>
              <w:rPr>
                <w:color w:val="auto"/>
              </w:rPr>
              <w:drawing>
                <wp:inline distT="0" distB="0" distL="114300" distR="114300">
                  <wp:extent cx="3291840" cy="5507990"/>
                  <wp:effectExtent l="0" t="0" r="3810" b="16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3291840" cy="5507990"/>
                          </a:xfrm>
                          <a:prstGeom prst="rect">
                            <a:avLst/>
                          </a:prstGeom>
                          <a:noFill/>
                          <a:ln>
                            <a:noFill/>
                          </a:ln>
                        </pic:spPr>
                      </pic:pic>
                    </a:graphicData>
                  </a:graphic>
                </wp:inline>
              </w:drawing>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jc w:val="center"/>
              <w:textAlignment w:val="auto"/>
              <w:rPr>
                <w:rFonts w:hint="default"/>
                <w:color w:val="auto"/>
                <w:highlight w:val="none"/>
                <w:lang w:val="en-US" w:eastAsia="zh-CN"/>
              </w:rPr>
            </w:pPr>
            <w:r>
              <w:rPr>
                <w:rFonts w:hint="eastAsia" w:ascii="Times New Roman" w:hAnsi="Times New Roman"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 xml:space="preserve">2 </w:t>
            </w:r>
            <w:r>
              <w:rPr>
                <w:rFonts w:hint="eastAsia" w:ascii="Times New Roman" w:hAnsi="Times New Roman" w:cs="Times New Roman"/>
                <w:b/>
                <w:bCs/>
                <w:color w:val="auto"/>
                <w:sz w:val="21"/>
                <w:szCs w:val="21"/>
                <w:highlight w:val="none"/>
                <w:lang w:val="en-US" w:eastAsia="zh-CN"/>
              </w:rPr>
              <w:t xml:space="preserve"> 石墨烯电发热元件生产</w:t>
            </w:r>
            <w:r>
              <w:rPr>
                <w:rFonts w:hint="default" w:ascii="Times New Roman" w:hAnsi="Times New Roman" w:cs="Times New Roman"/>
                <w:b/>
                <w:bCs/>
                <w:color w:val="auto"/>
                <w:sz w:val="21"/>
                <w:szCs w:val="21"/>
                <w:highlight w:val="none"/>
                <w:lang w:val="en-US" w:eastAsia="zh-CN"/>
              </w:rPr>
              <w:t>工艺流程及排污节点图</w:t>
            </w:r>
          </w:p>
          <w:p>
            <w:pPr>
              <w:bidi w:val="0"/>
              <w:rPr>
                <w:rFonts w:hint="default"/>
                <w:color w:val="auto"/>
                <w:sz w:val="24"/>
                <w:szCs w:val="24"/>
                <w:highlight w:val="none"/>
              </w:rPr>
            </w:pPr>
            <w:r>
              <w:rPr>
                <w:rFonts w:hint="eastAsia"/>
                <w:color w:val="auto"/>
                <w:sz w:val="24"/>
                <w:szCs w:val="24"/>
                <w:highlight w:val="none"/>
                <w:lang w:val="en-US" w:eastAsia="zh-CN"/>
              </w:rPr>
              <w:t>11、</w:t>
            </w:r>
            <w:r>
              <w:rPr>
                <w:rFonts w:hint="default"/>
                <w:color w:val="auto"/>
                <w:sz w:val="24"/>
                <w:szCs w:val="24"/>
                <w:highlight w:val="none"/>
              </w:rPr>
              <w:t>项目的地理位置、平面布置与周边关系：</w:t>
            </w:r>
          </w:p>
          <w:p>
            <w:pPr>
              <w:bidi w:val="0"/>
              <w:rPr>
                <w:rFonts w:hint="default"/>
                <w:color w:val="auto"/>
                <w:sz w:val="24"/>
                <w:szCs w:val="24"/>
                <w:highlight w:val="none"/>
              </w:rPr>
            </w:pPr>
            <w:r>
              <w:rPr>
                <w:rFonts w:hint="default"/>
                <w:color w:val="auto"/>
                <w:sz w:val="24"/>
                <w:szCs w:val="24"/>
                <w:highlight w:val="none"/>
              </w:rPr>
              <w:t>地理位置：</w:t>
            </w:r>
            <w:r>
              <w:rPr>
                <w:rFonts w:hint="eastAsia"/>
                <w:color w:val="auto"/>
                <w:sz w:val="24"/>
                <w:szCs w:val="24"/>
                <w:highlight w:val="none"/>
                <w:lang w:val="en-US" w:eastAsia="zh-CN"/>
              </w:rPr>
              <w:t>唐山烯彤科技有限公司位于唐山市高新区学院北路1718-1号</w:t>
            </w:r>
            <w:r>
              <w:rPr>
                <w:rFonts w:hint="default"/>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东经：118°08'52.641"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39°42'19.603"</w:t>
            </w:r>
            <w:r>
              <w:rPr>
                <w:rFonts w:hint="default"/>
                <w:color w:val="auto"/>
                <w:sz w:val="24"/>
                <w:szCs w:val="24"/>
                <w:highlight w:val="none"/>
              </w:rPr>
              <w:t>），地理位置图详见附图1。</w:t>
            </w:r>
          </w:p>
          <w:p>
            <w:pPr>
              <w:bidi w:val="0"/>
              <w:rPr>
                <w:rFonts w:hint="eastAsia" w:eastAsia="宋体"/>
                <w:color w:val="auto"/>
                <w:sz w:val="24"/>
                <w:szCs w:val="24"/>
                <w:highlight w:val="none"/>
                <w:shd w:val="clear" w:color="auto" w:fill="auto"/>
                <w:lang w:val="en-US" w:eastAsia="zh-CN"/>
              </w:rPr>
            </w:pPr>
            <w:r>
              <w:rPr>
                <w:rFonts w:hint="default"/>
                <w:color w:val="auto"/>
                <w:sz w:val="24"/>
                <w:szCs w:val="24"/>
                <w:highlight w:val="none"/>
                <w:shd w:val="clear" w:color="auto" w:fill="auto"/>
              </w:rPr>
              <w:t>平面布置：</w:t>
            </w:r>
            <w:r>
              <w:rPr>
                <w:rFonts w:hint="eastAsia"/>
                <w:color w:val="auto"/>
                <w:sz w:val="24"/>
                <w:szCs w:val="24"/>
                <w:highlight w:val="none"/>
                <w:shd w:val="clear" w:color="auto" w:fill="auto"/>
                <w:lang w:val="en-US" w:eastAsia="zh-CN"/>
              </w:rPr>
              <w:t>生产车间位于厂区中部，生产车间南侧为办公区，北侧为生产区，生产区一层主要用于生产，二层主要用于原料、成品储存，危废间位于生产区一层西北侧，生产车间北侧为停车场，厂区大门口位于南侧</w:t>
            </w:r>
            <w:r>
              <w:rPr>
                <w:rFonts w:hint="eastAsia"/>
                <w:color w:val="auto"/>
                <w:kern w:val="0"/>
                <w:sz w:val="24"/>
                <w:highlight w:val="none"/>
                <w:shd w:val="clear" w:color="auto" w:fill="FFFFFF"/>
                <w:lang w:eastAsia="zh-CN" w:bidi="ar"/>
              </w:rPr>
              <w:t>。</w:t>
            </w:r>
          </w:p>
          <w:p>
            <w:pPr>
              <w:bidi w:val="0"/>
              <w:rPr>
                <w:rFonts w:hint="default"/>
                <w:color w:val="auto"/>
                <w:sz w:val="24"/>
                <w:szCs w:val="24"/>
                <w:highlight w:val="none"/>
              </w:rPr>
            </w:pPr>
            <w:r>
              <w:rPr>
                <w:rFonts w:hint="default"/>
                <w:color w:val="auto"/>
                <w:sz w:val="24"/>
                <w:szCs w:val="24"/>
                <w:highlight w:val="none"/>
              </w:rPr>
              <w:t>周边关系：</w:t>
            </w:r>
            <w:r>
              <w:rPr>
                <w:rFonts w:hint="eastAsia"/>
                <w:color w:val="auto"/>
                <w:sz w:val="24"/>
                <w:szCs w:val="24"/>
                <w:highlight w:val="none"/>
                <w:lang w:val="en-US" w:eastAsia="zh-CN"/>
              </w:rPr>
              <w:t>唐山烯彤科技有限公司厂区东侧为在建企业和河北北上节能科技有限公司，南侧为创新大道，西侧为垃圾转运站，北侧为唐山德筑医药有限公司</w:t>
            </w:r>
            <w:r>
              <w:rPr>
                <w:rFonts w:hint="default"/>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三、本项目工程概况</w:t>
            </w:r>
          </w:p>
          <w:p>
            <w:pPr>
              <w:bidi w:val="0"/>
              <w:rPr>
                <w:rFonts w:hint="default"/>
                <w:color w:val="auto"/>
                <w:highlight w:val="none"/>
              </w:rPr>
            </w:pPr>
            <w:r>
              <w:rPr>
                <w:rFonts w:hint="eastAsia"/>
                <w:color w:val="auto"/>
                <w:sz w:val="24"/>
                <w:szCs w:val="24"/>
                <w:highlight w:val="none"/>
                <w:lang w:val="en-US" w:eastAsia="zh-CN"/>
              </w:rPr>
              <w:t>1、</w:t>
            </w:r>
            <w:r>
              <w:rPr>
                <w:rFonts w:hint="default"/>
                <w:color w:val="auto"/>
                <w:highlight w:val="none"/>
              </w:rPr>
              <w:t>项目名称：</w:t>
            </w:r>
            <w:r>
              <w:rPr>
                <w:rFonts w:hint="eastAsia"/>
                <w:color w:val="auto"/>
                <w:sz w:val="24"/>
                <w:szCs w:val="24"/>
                <w:highlight w:val="none"/>
                <w:lang w:val="en-US" w:eastAsia="zh-CN"/>
              </w:rPr>
              <w:t>年产八万套石墨烯电发热元件技改及年产五万台节能速热电锅炉建设项目</w:t>
            </w:r>
            <w:r>
              <w:rPr>
                <w:rFonts w:hint="default"/>
                <w:color w:val="auto"/>
                <w:highlight w:val="none"/>
              </w:rPr>
              <w:t>。</w:t>
            </w:r>
          </w:p>
          <w:p>
            <w:pPr>
              <w:bidi w:val="0"/>
              <w:rPr>
                <w:rFonts w:hint="default"/>
                <w:color w:val="auto"/>
                <w:highlight w:val="none"/>
              </w:rPr>
            </w:pPr>
            <w:r>
              <w:rPr>
                <w:rFonts w:hint="eastAsia"/>
                <w:color w:val="auto"/>
                <w:highlight w:val="none"/>
                <w:lang w:val="en-US" w:eastAsia="zh-CN"/>
              </w:rPr>
              <w:t>2、</w:t>
            </w:r>
            <w:r>
              <w:rPr>
                <w:rFonts w:hint="default"/>
                <w:color w:val="auto"/>
                <w:highlight w:val="none"/>
              </w:rPr>
              <w:t>建设单位：</w:t>
            </w:r>
            <w:r>
              <w:rPr>
                <w:rFonts w:hint="eastAsia"/>
                <w:color w:val="auto"/>
                <w:sz w:val="24"/>
                <w:szCs w:val="24"/>
                <w:highlight w:val="none"/>
                <w:lang w:val="en-US" w:eastAsia="zh-CN"/>
              </w:rPr>
              <w:t>唐山烯彤科技有限公司</w:t>
            </w:r>
            <w:r>
              <w:rPr>
                <w:rFonts w:hint="default"/>
                <w:color w:val="auto"/>
                <w:highlight w:val="none"/>
              </w:rPr>
              <w:t>。</w:t>
            </w:r>
          </w:p>
          <w:p>
            <w:pPr>
              <w:bidi w:val="0"/>
              <w:rPr>
                <w:rFonts w:hint="default"/>
                <w:color w:val="auto"/>
                <w:highlight w:val="none"/>
              </w:rPr>
            </w:pPr>
            <w:r>
              <w:rPr>
                <w:rFonts w:hint="eastAsia"/>
                <w:color w:val="auto"/>
                <w:highlight w:val="none"/>
                <w:lang w:val="en-US" w:eastAsia="zh-CN"/>
              </w:rPr>
              <w:t>3、</w:t>
            </w:r>
            <w:r>
              <w:rPr>
                <w:rFonts w:hint="default"/>
                <w:color w:val="auto"/>
                <w:highlight w:val="none"/>
              </w:rPr>
              <w:t>建设性质：</w:t>
            </w:r>
            <w:r>
              <w:rPr>
                <w:rFonts w:hint="eastAsia"/>
                <w:color w:val="auto"/>
                <w:highlight w:val="none"/>
                <w:lang w:val="en-US" w:eastAsia="zh-CN"/>
              </w:rPr>
              <w:t>改扩建</w:t>
            </w:r>
            <w:r>
              <w:rPr>
                <w:rFonts w:hint="default"/>
                <w:color w:val="auto"/>
                <w:highlight w:val="none"/>
              </w:rPr>
              <w:t>。</w:t>
            </w:r>
          </w:p>
          <w:p>
            <w:pPr>
              <w:bidi w:val="0"/>
              <w:rPr>
                <w:rFonts w:hint="eastAsia" w:eastAsia="宋体"/>
                <w:color w:val="auto"/>
                <w:highlight w:val="none"/>
                <w:lang w:val="en-US" w:eastAsia="zh-CN"/>
              </w:rPr>
            </w:pPr>
            <w:r>
              <w:rPr>
                <w:rFonts w:hint="eastAsia"/>
                <w:color w:val="auto"/>
                <w:highlight w:val="none"/>
                <w:lang w:val="en-US" w:eastAsia="zh-CN"/>
              </w:rPr>
              <w:t>4、</w:t>
            </w:r>
            <w:r>
              <w:rPr>
                <w:rFonts w:hint="default"/>
                <w:color w:val="auto"/>
                <w:highlight w:val="none"/>
              </w:rPr>
              <w:t>建设地点：</w:t>
            </w:r>
            <w:r>
              <w:rPr>
                <w:rFonts w:hint="eastAsia"/>
                <w:color w:val="auto"/>
                <w:sz w:val="24"/>
                <w:szCs w:val="24"/>
                <w:highlight w:val="none"/>
                <w:lang w:val="en-US" w:eastAsia="zh-CN"/>
              </w:rPr>
              <w:t>唐山市高新区学院北路1718-1号，唐山烯彤科技有限公司院内</w:t>
            </w:r>
            <w:r>
              <w:rPr>
                <w:rFonts w:hint="default"/>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color w:val="auto"/>
                <w:sz w:val="24"/>
                <w:szCs w:val="24"/>
                <w:highlight w:val="yellow"/>
                <w:lang w:val="en-US" w:eastAsia="zh-CN"/>
              </w:rPr>
            </w:pPr>
            <w:r>
              <w:rPr>
                <w:rFonts w:hint="eastAsia"/>
                <w:color w:val="auto"/>
                <w:sz w:val="24"/>
                <w:szCs w:val="24"/>
                <w:highlight w:val="none"/>
                <w:lang w:val="en-US" w:eastAsia="zh-CN"/>
              </w:rPr>
              <w:t>5、</w:t>
            </w:r>
            <w:r>
              <w:rPr>
                <w:rFonts w:hint="default"/>
                <w:color w:val="auto"/>
                <w:sz w:val="24"/>
                <w:szCs w:val="24"/>
                <w:highlight w:val="none"/>
              </w:rPr>
              <w:t>项目组成：</w:t>
            </w:r>
            <w:r>
              <w:rPr>
                <w:rFonts w:hint="eastAsia"/>
                <w:color w:val="auto"/>
                <w:sz w:val="24"/>
                <w:szCs w:val="24"/>
                <w:highlight w:val="none"/>
                <w:lang w:val="en-US" w:eastAsia="zh-CN"/>
              </w:rPr>
              <w:t>本项目主要</w:t>
            </w:r>
            <w:r>
              <w:rPr>
                <w:rFonts w:hint="eastAsia"/>
                <w:color w:val="auto"/>
                <w:highlight w:val="none"/>
                <w:lang w:val="en-US" w:eastAsia="zh-CN"/>
              </w:rPr>
              <w:t>对现有石墨烯电发热元件生产线进行改造，调整产品方案，购置石墨烯电发热膜相关设备，石墨烯电发热元件产能不发生变化，仍为年产石墨烯电发热元件8万套（石墨烯电发热体7万套/a，石墨烯电发热膜1万套/a），同时，新建节能速热电锅炉组装生产线，将石墨烯电发热体生产线生产的石墨烯电发热体与进购的机箱外壳、触摸控制板、耐高温线等零配件采用手工和螺丝进行组装</w:t>
            </w:r>
            <w:r>
              <w:rPr>
                <w:rFonts w:hint="eastAsia" w:ascii="Times New Roman" w:hAnsi="Times New Roman" w:eastAsia="宋体" w:cs="Times New Roman"/>
                <w:i w:val="0"/>
                <w:color w:val="auto"/>
                <w:kern w:val="0"/>
                <w:sz w:val="24"/>
                <w:szCs w:val="24"/>
                <w:u w:val="none"/>
                <w:lang w:val="en-US" w:eastAsia="zh-CN" w:bidi="ar"/>
              </w:rPr>
              <w:t>，生产节能速热电锅炉</w:t>
            </w:r>
            <w:r>
              <w:rPr>
                <w:rFonts w:hint="eastAsia" w:cs="Times New Roman"/>
                <w:i w:val="0"/>
                <w:color w:val="auto"/>
                <w:kern w:val="0"/>
                <w:sz w:val="24"/>
                <w:szCs w:val="24"/>
                <w:u w:val="none"/>
                <w:lang w:val="en-US" w:eastAsia="zh-CN" w:bidi="ar"/>
              </w:rPr>
              <w:t>，年产节能速热电锅炉5万台</w:t>
            </w:r>
            <w:r>
              <w:rPr>
                <w:rFonts w:hint="eastAsia"/>
                <w:color w:val="auto"/>
                <w:sz w:val="24"/>
                <w:szCs w:val="24"/>
                <w:highlight w:val="none"/>
                <w:lang w:val="en-US" w:eastAsia="zh-CN"/>
              </w:rPr>
              <w:t>。本项目主要建构筑物情况见表12，主要建筑内容见表13。</w:t>
            </w:r>
          </w:p>
          <w:p>
            <w:pPr>
              <w:pStyle w:val="31"/>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12  本项目</w:t>
            </w:r>
            <w:r>
              <w:rPr>
                <w:rFonts w:hint="default"/>
                <w:color w:val="auto"/>
                <w:sz w:val="21"/>
                <w:szCs w:val="21"/>
                <w:highlight w:val="none"/>
              </w:rPr>
              <w:t>主要建构筑物一览表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095"/>
              <w:gridCol w:w="1500"/>
              <w:gridCol w:w="4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73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09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占地</w:t>
                  </w:r>
                  <w:r>
                    <w:rPr>
                      <w:rFonts w:hint="default"/>
                      <w:color w:val="auto"/>
                      <w:sz w:val="21"/>
                      <w:szCs w:val="21"/>
                      <w:highlight w:val="none"/>
                    </w:rPr>
                    <w:t>面积（m</w:t>
                  </w:r>
                  <w:r>
                    <w:rPr>
                      <w:rFonts w:hint="default"/>
                      <w:color w:val="auto"/>
                      <w:sz w:val="21"/>
                      <w:szCs w:val="21"/>
                      <w:highlight w:val="none"/>
                      <w:vertAlign w:val="superscript"/>
                    </w:rPr>
                    <w:t>2</w:t>
                  </w:r>
                  <w:r>
                    <w:rPr>
                      <w:rFonts w:hint="default"/>
                      <w:color w:val="auto"/>
                      <w:sz w:val="21"/>
                      <w:szCs w:val="21"/>
                      <w:highlight w:val="none"/>
                    </w:rPr>
                    <w:t>）</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732" w:type="dxa"/>
                  <w:tcBorders>
                    <w:tl2br w:val="nil"/>
                    <w:tr2bl w:val="nil"/>
                  </w:tcBorders>
                  <w:noWrap w:val="0"/>
                  <w:vAlign w:val="center"/>
                </w:tcPr>
                <w:p>
                  <w:pPr>
                    <w:pStyle w:val="32"/>
                    <w:keepNext w:val="0"/>
                    <w:keepLines w:val="0"/>
                    <w:pageBreakBefore w:val="0"/>
                    <w:widowControl w:val="0"/>
                    <w:numPr>
                      <w:ilvl w:val="0"/>
                      <w:numId w:val="12"/>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95" w:type="dxa"/>
                  <w:tcBorders>
                    <w:tl2br w:val="nil"/>
                    <w:tr2bl w:val="nil"/>
                  </w:tcBorders>
                  <w:noWrap w:val="0"/>
                  <w:vAlign w:val="center"/>
                </w:tcPr>
                <w:p>
                  <w:pPr>
                    <w:pStyle w:val="32"/>
                    <w:ind w:firstLine="0" w:firstLineChars="0"/>
                    <w:rPr>
                      <w:rFonts w:hint="eastAsia" w:eastAsia="宋体"/>
                      <w:color w:val="auto"/>
                      <w:sz w:val="21"/>
                      <w:szCs w:val="21"/>
                      <w:highlight w:val="none"/>
                      <w:lang w:val="en-US" w:eastAsia="zh-CN"/>
                    </w:rPr>
                  </w:pPr>
                  <w:r>
                    <w:rPr>
                      <w:rFonts w:hint="eastAsia"/>
                      <w:color w:val="auto"/>
                      <w:sz w:val="21"/>
                      <w:highlight w:val="none"/>
                      <w:lang w:val="en-US" w:eastAsia="zh-CN"/>
                    </w:rPr>
                    <w:t>生产车间</w:t>
                  </w:r>
                </w:p>
              </w:tc>
              <w:tc>
                <w:tcPr>
                  <w:tcW w:w="1500"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7600</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依托现有，</w:t>
                  </w:r>
                  <w:r>
                    <w:rPr>
                      <w:rFonts w:hint="eastAsia" w:eastAsia="宋体"/>
                      <w:color w:val="auto"/>
                      <w:sz w:val="21"/>
                      <w:szCs w:val="21"/>
                      <w:highlight w:val="none"/>
                      <w:lang w:val="en-US" w:eastAsia="zh-CN"/>
                    </w:rPr>
                    <w:t>生产车间南部主要为办公区，四层，高14m，占地面积1600m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（东侧</w:t>
                  </w:r>
                  <w:r>
                    <w:rPr>
                      <w:rFonts w:hint="eastAsia"/>
                      <w:color w:val="auto"/>
                      <w:sz w:val="21"/>
                      <w:szCs w:val="21"/>
                      <w:highlight w:val="none"/>
                      <w:vertAlign w:val="baseline"/>
                      <w:lang w:val="en-US" w:eastAsia="zh-CN"/>
                    </w:rPr>
                    <w:t>约</w:t>
                  </w:r>
                  <w:r>
                    <w:rPr>
                      <w:rFonts w:hint="eastAsia" w:eastAsia="宋体"/>
                      <w:color w:val="auto"/>
                      <w:sz w:val="21"/>
                      <w:szCs w:val="21"/>
                      <w:highlight w:val="none"/>
                      <w:vertAlign w:val="baseline"/>
                      <w:lang w:val="en-US" w:eastAsia="zh-CN"/>
                    </w:rPr>
                    <w:t>800m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eastAsia="宋体"/>
                      <w:color w:val="auto"/>
                      <w:sz w:val="21"/>
                      <w:szCs w:val="21"/>
                      <w:highlight w:val="none"/>
                      <w:lang w:val="en-US" w:eastAsia="zh-CN"/>
                    </w:rPr>
                    <w:t>；生产车间北部主要为生产区，两层，高16m，占地面积6000m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w:t>
                  </w:r>
                  <w:r>
                    <w:rPr>
                      <w:rFonts w:hint="eastAsia"/>
                      <w:color w:val="auto"/>
                      <w:sz w:val="21"/>
                      <w:szCs w:val="21"/>
                      <w:highlight w:val="none"/>
                      <w:vertAlign w:val="baseline"/>
                      <w:lang w:val="en-US" w:eastAsia="zh-CN"/>
                    </w:rPr>
                    <w:t>一层</w:t>
                  </w:r>
                  <w:r>
                    <w:rPr>
                      <w:rFonts w:hint="eastAsia" w:eastAsia="宋体"/>
                      <w:color w:val="auto"/>
                      <w:sz w:val="21"/>
                      <w:szCs w:val="21"/>
                      <w:highlight w:val="none"/>
                      <w:vertAlign w:val="baseline"/>
                      <w:lang w:val="en-US" w:eastAsia="zh-CN"/>
                    </w:rPr>
                    <w:t>东侧</w:t>
                  </w:r>
                  <w:r>
                    <w:rPr>
                      <w:rFonts w:hint="eastAsia"/>
                      <w:color w:val="auto"/>
                      <w:sz w:val="21"/>
                      <w:szCs w:val="21"/>
                      <w:highlight w:val="none"/>
                      <w:vertAlign w:val="baseline"/>
                      <w:lang w:val="en-US" w:eastAsia="zh-CN"/>
                    </w:rPr>
                    <w:t>约40</w:t>
                  </w:r>
                  <w:r>
                    <w:rPr>
                      <w:rFonts w:hint="eastAsia" w:eastAsia="宋体"/>
                      <w:color w:val="auto"/>
                      <w:sz w:val="21"/>
                      <w:szCs w:val="21"/>
                      <w:highlight w:val="none"/>
                      <w:vertAlign w:val="baseline"/>
                      <w:lang w:val="en-US" w:eastAsia="zh-CN"/>
                    </w:rPr>
                    <w:t>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color w:val="auto"/>
                      <w:sz w:val="21"/>
                      <w:szCs w:val="21"/>
                      <w:highlight w:val="none"/>
                      <w:vertAlign w:val="baseline"/>
                      <w:lang w:val="en-US" w:eastAsia="zh-CN"/>
                    </w:rPr>
                    <w:t>和唐山墨希新材料科技有限公司，二层东侧约40</w:t>
                  </w:r>
                  <w:r>
                    <w:rPr>
                      <w:rFonts w:hint="eastAsia" w:eastAsia="宋体"/>
                      <w:color w:val="auto"/>
                      <w:sz w:val="21"/>
                      <w:szCs w:val="21"/>
                      <w:highlight w:val="none"/>
                      <w:vertAlign w:val="baseline"/>
                      <w:lang w:val="en-US" w:eastAsia="zh-CN"/>
                    </w:rPr>
                    <w:t>00m</w:t>
                  </w:r>
                  <w:r>
                    <w:rPr>
                      <w:rFonts w:hint="eastAsia" w:eastAsia="宋体"/>
                      <w:color w:val="auto"/>
                      <w:sz w:val="21"/>
                      <w:szCs w:val="21"/>
                      <w:highlight w:val="none"/>
                      <w:vertAlign w:val="superscript"/>
                      <w:lang w:val="en-US" w:eastAsia="zh-CN"/>
                    </w:rPr>
                    <w:t>2</w:t>
                  </w:r>
                  <w:r>
                    <w:rPr>
                      <w:rFonts w:hint="eastAsia" w:eastAsia="宋体"/>
                      <w:color w:val="auto"/>
                      <w:sz w:val="21"/>
                      <w:szCs w:val="21"/>
                      <w:highlight w:val="none"/>
                      <w:vertAlign w:val="baseline"/>
                      <w:lang w:val="en-US" w:eastAsia="zh-CN"/>
                    </w:rPr>
                    <w:t>租赁给中节能（唐山）环保装备有限公司）</w:t>
                  </w:r>
                  <w:r>
                    <w:rPr>
                      <w:rFonts w:hint="eastAsia" w:eastAsia="宋体"/>
                      <w:color w:val="auto"/>
                      <w:sz w:val="21"/>
                      <w:szCs w:val="21"/>
                      <w:highlight w:val="none"/>
                      <w:lang w:val="en-US" w:eastAsia="zh-CN"/>
                    </w:rPr>
                    <w:t>，一层</w:t>
                  </w:r>
                  <w:r>
                    <w:rPr>
                      <w:rFonts w:hint="eastAsia"/>
                      <w:color w:val="auto"/>
                      <w:sz w:val="21"/>
                      <w:szCs w:val="21"/>
                      <w:highlight w:val="none"/>
                      <w:lang w:val="en-US" w:eastAsia="zh-CN"/>
                    </w:rPr>
                    <w:t>主要用于生产</w:t>
                  </w:r>
                  <w:r>
                    <w:rPr>
                      <w:rFonts w:hint="eastAsia" w:eastAsia="宋体"/>
                      <w:color w:val="auto"/>
                      <w:sz w:val="21"/>
                      <w:szCs w:val="21"/>
                      <w:highlight w:val="none"/>
                      <w:lang w:val="en-US" w:eastAsia="zh-CN"/>
                    </w:rPr>
                    <w:t>，二层主要</w:t>
                  </w:r>
                  <w:r>
                    <w:rPr>
                      <w:rFonts w:hint="eastAsia"/>
                      <w:color w:val="auto"/>
                      <w:sz w:val="21"/>
                      <w:szCs w:val="21"/>
                      <w:highlight w:val="none"/>
                      <w:lang w:val="en-US" w:eastAsia="zh-CN"/>
                    </w:rPr>
                    <w:t>用于包装和原料、成品储存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32" w:type="dxa"/>
                  <w:tcBorders>
                    <w:tl2br w:val="nil"/>
                    <w:tr2bl w:val="nil"/>
                  </w:tcBorders>
                  <w:noWrap w:val="0"/>
                  <w:vAlign w:val="center"/>
                </w:tcPr>
                <w:p>
                  <w:pPr>
                    <w:pStyle w:val="32"/>
                    <w:keepNext w:val="0"/>
                    <w:keepLines w:val="0"/>
                    <w:pageBreakBefore w:val="0"/>
                    <w:widowControl w:val="0"/>
                    <w:numPr>
                      <w:ilvl w:val="0"/>
                      <w:numId w:val="12"/>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095"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危废间</w:t>
                  </w:r>
                </w:p>
              </w:tc>
              <w:tc>
                <w:tcPr>
                  <w:tcW w:w="1500" w:type="dxa"/>
                  <w:tcBorders>
                    <w:tl2br w:val="nil"/>
                    <w:tr2bl w:val="nil"/>
                  </w:tcBorders>
                  <w:noWrap w:val="0"/>
                  <w:vAlign w:val="center"/>
                </w:tcPr>
                <w:p>
                  <w:pPr>
                    <w:pStyle w:val="32"/>
                    <w:ind w:firstLine="0" w:firstLineChars="0"/>
                    <w:rPr>
                      <w:rFonts w:hint="default"/>
                      <w:color w:val="auto"/>
                      <w:sz w:val="21"/>
                      <w:highlight w:val="none"/>
                      <w:lang w:val="en-US" w:eastAsia="zh-CN"/>
                    </w:rPr>
                  </w:pPr>
                  <w:r>
                    <w:rPr>
                      <w:rFonts w:hint="eastAsia"/>
                      <w:color w:val="auto"/>
                      <w:sz w:val="21"/>
                      <w:highlight w:val="none"/>
                      <w:lang w:val="en-US" w:eastAsia="zh-CN"/>
                    </w:rPr>
                    <w:t>15</w:t>
                  </w:r>
                </w:p>
              </w:tc>
              <w:tc>
                <w:tcPr>
                  <w:tcW w:w="495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依托现有，位于生产车间内西北侧</w:t>
                  </w:r>
                </w:p>
              </w:tc>
            </w:tr>
          </w:tbl>
          <w:p>
            <w:pPr>
              <w:pStyle w:val="31"/>
              <w:bidi w:val="0"/>
              <w:rPr>
                <w:rFonts w:ascii="宋体" w:hAnsi="宋体" w:cs="宋体"/>
                <w:b/>
                <w:color w:val="auto"/>
                <w:kern w:val="0"/>
                <w:szCs w:val="21"/>
                <w:highlight w:val="none"/>
              </w:rPr>
            </w:pPr>
            <w:r>
              <w:rPr>
                <w:rFonts w:hint="default"/>
                <w:color w:val="auto"/>
                <w:sz w:val="21"/>
                <w:szCs w:val="21"/>
                <w:highlight w:val="none"/>
              </w:rPr>
              <w:t>表</w:t>
            </w:r>
            <w:r>
              <w:rPr>
                <w:rFonts w:hint="eastAsia"/>
                <w:color w:val="auto"/>
                <w:sz w:val="21"/>
                <w:szCs w:val="21"/>
                <w:highlight w:val="none"/>
                <w:lang w:val="en-US" w:eastAsia="zh-CN"/>
              </w:rPr>
              <w:t>13  本项目主要</w:t>
            </w:r>
            <w:r>
              <w:rPr>
                <w:rFonts w:hint="default"/>
                <w:color w:val="auto"/>
                <w:sz w:val="21"/>
                <w:szCs w:val="21"/>
                <w:highlight w:val="none"/>
              </w:rPr>
              <w:t>建设内容一览表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02"/>
              <w:gridCol w:w="1143"/>
              <w:gridCol w:w="3496"/>
              <w:gridCol w:w="1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6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工程类别</w:t>
                  </w: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项目</w:t>
                  </w:r>
                  <w:r>
                    <w:rPr>
                      <w:rFonts w:hint="eastAsia" w:ascii="宋体" w:hAnsi="宋体" w:cs="宋体"/>
                      <w:color w:val="auto"/>
                      <w:sz w:val="21"/>
                      <w:szCs w:val="21"/>
                      <w:highlight w:val="none"/>
                    </w:rPr>
                    <w:t>名称</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主要内容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6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主体工程</w:t>
                  </w: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生产区</w:t>
                  </w:r>
                </w:p>
              </w:tc>
              <w:tc>
                <w:tcPr>
                  <w:tcW w:w="5712" w:type="dxa"/>
                  <w:gridSpan w:val="3"/>
                  <w:vAlign w:val="center"/>
                </w:tcPr>
                <w:p>
                  <w:pPr>
                    <w:pStyle w:val="35"/>
                    <w:keepNext w:val="0"/>
                    <w:keepLines w:val="0"/>
                    <w:pageBreakBefore w:val="0"/>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依托现有</w:t>
                  </w:r>
                  <w:r>
                    <w:rPr>
                      <w:rFonts w:hint="eastAsia" w:cs="Times New Roman"/>
                      <w:color w:val="auto"/>
                      <w:sz w:val="21"/>
                      <w:szCs w:val="21"/>
                      <w:highlight w:val="none"/>
                      <w:lang w:val="en-US" w:eastAsia="zh-CN"/>
                    </w:rPr>
                    <w:t>生产车间生产区，主要新增覆膜印刷机、覆膜烘干机、自动高周波塑胶熔接机、半自动高周波塑胶熔接机、数显高速分散机等设备，用于生产石墨烯电发热膜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6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辅助工程</w:t>
                  </w: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办公区</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依托现有</w:t>
                  </w:r>
                  <w:r>
                    <w:rPr>
                      <w:rFonts w:hint="eastAsia" w:cs="Times New Roman"/>
                      <w:color w:val="auto"/>
                      <w:sz w:val="21"/>
                      <w:szCs w:val="21"/>
                      <w:highlight w:val="none"/>
                      <w:lang w:val="en-US" w:eastAsia="zh-CN"/>
                    </w:rPr>
                    <w:t>生产车间办公区，主要用于办公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63"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储运工程</w:t>
                  </w:r>
                </w:p>
              </w:tc>
              <w:tc>
                <w:tcPr>
                  <w:tcW w:w="1402"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rPr>
                    <w:t>库房</w:t>
                  </w:r>
                </w:p>
              </w:tc>
              <w:tc>
                <w:tcPr>
                  <w:tcW w:w="5712"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lang w:val="en-US" w:eastAsia="zh-CN"/>
                    </w:rPr>
                    <w:t>位于生产车间生产区一层，主要</w:t>
                  </w:r>
                  <w:r>
                    <w:rPr>
                      <w:rFonts w:hint="eastAsia"/>
                      <w:color w:val="auto"/>
                    </w:rPr>
                    <w:t>用于</w:t>
                  </w:r>
                  <w:r>
                    <w:rPr>
                      <w:rFonts w:hint="eastAsia"/>
                      <w:color w:val="auto"/>
                      <w:lang w:val="en-US" w:eastAsia="zh-CN"/>
                    </w:rPr>
                    <w:t>临时存放原料及成品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color w:val="auto"/>
                    </w:rPr>
                  </w:pPr>
                </w:p>
              </w:tc>
              <w:tc>
                <w:tcPr>
                  <w:tcW w:w="1402"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rPr>
                    <w:t>危废间</w:t>
                  </w:r>
                </w:p>
              </w:tc>
              <w:tc>
                <w:tcPr>
                  <w:tcW w:w="5712"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lang w:val="en-US" w:eastAsia="zh-CN"/>
                    </w:rPr>
                    <w:t>位于生产车间生产区一层，</w:t>
                  </w:r>
                  <w:r>
                    <w:rPr>
                      <w:rFonts w:hint="eastAsia"/>
                      <w:color w:val="auto"/>
                    </w:rPr>
                    <w:t>用于</w:t>
                  </w:r>
                  <w:r>
                    <w:rPr>
                      <w:color w:val="auto"/>
                    </w:rPr>
                    <w:t>储存</w:t>
                  </w:r>
                  <w:r>
                    <w:rPr>
                      <w:rFonts w:hint="eastAsia"/>
                      <w:color w:val="auto"/>
                      <w:lang w:val="en-US" w:eastAsia="zh-CN"/>
                    </w:rPr>
                    <w:t>生产过程产生的</w:t>
                  </w:r>
                  <w:r>
                    <w:rPr>
                      <w:color w:val="auto"/>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1402"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lang w:val="en-US" w:eastAsia="zh-CN"/>
                    </w:rPr>
                    <w:t>原料、成品储存区</w:t>
                  </w:r>
                </w:p>
              </w:tc>
              <w:tc>
                <w:tcPr>
                  <w:tcW w:w="5712" w:type="dxa"/>
                  <w:gridSpan w:val="3"/>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color w:val="auto"/>
                      <w:lang w:val="en-US" w:eastAsia="zh-CN"/>
                    </w:rPr>
                    <w:t>位于生产车间生产区二层，用于原料及成品储存，并在东北侧设置危险品储存区，用于储存</w:t>
                  </w:r>
                  <w:r>
                    <w:rPr>
                      <w:rFonts w:hint="eastAsia"/>
                      <w:color w:val="auto"/>
                      <w:highlight w:val="none"/>
                      <w:lang w:val="en-US" w:eastAsia="zh-CN"/>
                    </w:rPr>
                    <w:t>电极银浆、镀膜液、润滑油、氢氧化钠以及制备导电浆料所需原料等，</w:t>
                  </w:r>
                  <w:r>
                    <w:rPr>
                      <w:rFonts w:hint="eastAsia"/>
                      <w:color w:val="auto"/>
                      <w:lang w:val="en-US" w:eastAsia="zh-CN"/>
                    </w:rPr>
                    <w:t>在西北侧设置一般固废储存区，用于储存生产过程产生的一般工业固体废物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63"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公用工程</w:t>
                  </w: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供水</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本项目不新增新水用量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供电</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用电由园区电网提供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取暖</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依托现有取暖设施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供热</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覆膜烘干机为电加热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63"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依托工程</w:t>
                  </w: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库房</w:t>
                  </w:r>
                </w:p>
              </w:tc>
              <w:tc>
                <w:tcPr>
                  <w:tcW w:w="5712" w:type="dxa"/>
                  <w:gridSpan w:val="3"/>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本项目依托现有库房和原料、成品储存区，通过减少储存周期，增加转运次数的方式，使其储存能力满足生产需求，依托可行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lang w:val="en-US" w:eastAsia="zh-CN"/>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原料、成品储存区</w:t>
                  </w:r>
                </w:p>
              </w:tc>
              <w:tc>
                <w:tcPr>
                  <w:tcW w:w="5712" w:type="dxa"/>
                  <w:gridSpan w:val="3"/>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lang w:val="en-US" w:eastAsia="zh-CN"/>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危废间</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本项目依托现有危废间，现有危废中喷淋废水每半年转运一次，其余危废每年转运一次，</w:t>
                  </w:r>
                  <w:r>
                    <w:rPr>
                      <w:rFonts w:hint="default" w:ascii="Times New Roman" w:hAnsi="Times New Roman" w:cs="Times New Roman"/>
                      <w:color w:val="auto"/>
                      <w:spacing w:val="0"/>
                      <w:sz w:val="21"/>
                      <w:szCs w:val="21"/>
                      <w:highlight w:val="none"/>
                      <w:lang w:val="en-US" w:eastAsia="zh-CN"/>
                    </w:rPr>
                    <w:t>危废间面积为15m</w:t>
                  </w:r>
                  <w:r>
                    <w:rPr>
                      <w:rFonts w:hint="default" w:ascii="Times New Roman" w:hAnsi="Times New Roman" w:cs="Times New Roman"/>
                      <w:color w:val="auto"/>
                      <w:spacing w:val="0"/>
                      <w:sz w:val="21"/>
                      <w:szCs w:val="21"/>
                      <w:highlight w:val="none"/>
                      <w:vertAlign w:val="superscript"/>
                      <w:lang w:val="en-US" w:eastAsia="zh-CN"/>
                    </w:rPr>
                    <w:t>2</w:t>
                  </w:r>
                  <w:r>
                    <w:rPr>
                      <w:rFonts w:hint="default" w:ascii="Times New Roman" w:hAnsi="Times New Roman" w:cs="Times New Roman"/>
                      <w:color w:val="auto"/>
                      <w:spacing w:val="0"/>
                      <w:sz w:val="21"/>
                      <w:szCs w:val="21"/>
                      <w:highlight w:val="none"/>
                      <w:lang w:val="en-US" w:eastAsia="zh-CN"/>
                    </w:rPr>
                    <w:t>，危废间已利用面积约10m</w:t>
                  </w:r>
                  <w:r>
                    <w:rPr>
                      <w:rFonts w:hint="default" w:ascii="Times New Roman" w:hAnsi="Times New Roman" w:cs="Times New Roman"/>
                      <w:color w:val="auto"/>
                      <w:spacing w:val="0"/>
                      <w:sz w:val="21"/>
                      <w:szCs w:val="21"/>
                      <w:highlight w:val="none"/>
                      <w:vertAlign w:val="superscript"/>
                      <w:lang w:val="en-US" w:eastAsia="zh-CN"/>
                    </w:rPr>
                    <w:t>2</w:t>
                  </w:r>
                  <w:r>
                    <w:rPr>
                      <w:rFonts w:hint="eastAsia" w:ascii="Times New Roman" w:hAnsi="Times New Roman" w:cs="Times New Roman"/>
                      <w:color w:val="auto"/>
                      <w:spacing w:val="0"/>
                      <w:sz w:val="21"/>
                      <w:szCs w:val="21"/>
                      <w:highlight w:val="none"/>
                      <w:vertAlign w:val="baseline"/>
                      <w:lang w:val="en-US" w:eastAsia="zh-CN"/>
                    </w:rPr>
                    <w:t>，本项目建成后，</w:t>
                  </w:r>
                  <w:r>
                    <w:rPr>
                      <w:rFonts w:hint="eastAsia" w:cs="Times New Roman"/>
                      <w:color w:val="auto"/>
                      <w:spacing w:val="0"/>
                      <w:sz w:val="21"/>
                      <w:szCs w:val="21"/>
                      <w:highlight w:val="none"/>
                      <w:vertAlign w:val="baseline"/>
                      <w:lang w:val="en-US" w:eastAsia="zh-CN"/>
                    </w:rPr>
                    <w:t>废活性炭更换后直接由有资质单位运走处置，不在厂区内储存，同时，其余危险废物</w:t>
                  </w:r>
                  <w:r>
                    <w:rPr>
                      <w:rFonts w:hint="eastAsia" w:ascii="Times New Roman" w:hAnsi="Times New Roman" w:cs="Times New Roman"/>
                      <w:color w:val="auto"/>
                      <w:spacing w:val="0"/>
                      <w:sz w:val="21"/>
                      <w:szCs w:val="21"/>
                      <w:highlight w:val="none"/>
                      <w:vertAlign w:val="baseline"/>
                      <w:lang w:val="en-US" w:eastAsia="zh-CN"/>
                    </w:rPr>
                    <w:t>增加转运次数，全部危废均每半年转运一次，危废间最大利用面积约8</w:t>
                  </w:r>
                  <w:r>
                    <w:rPr>
                      <w:rFonts w:hint="default" w:ascii="Times New Roman" w:hAnsi="Times New Roman" w:cs="Times New Roman"/>
                      <w:color w:val="auto"/>
                      <w:spacing w:val="0"/>
                      <w:sz w:val="21"/>
                      <w:szCs w:val="21"/>
                      <w:highlight w:val="none"/>
                      <w:lang w:val="en-US" w:eastAsia="zh-CN"/>
                    </w:rPr>
                    <w:t>m</w:t>
                  </w:r>
                  <w:r>
                    <w:rPr>
                      <w:rFonts w:hint="default" w:ascii="Times New Roman" w:hAnsi="Times New Roman" w:cs="Times New Roman"/>
                      <w:color w:val="auto"/>
                      <w:spacing w:val="0"/>
                      <w:sz w:val="21"/>
                      <w:szCs w:val="21"/>
                      <w:highlight w:val="none"/>
                      <w:vertAlign w:val="superscript"/>
                      <w:lang w:val="en-US" w:eastAsia="zh-CN"/>
                    </w:rPr>
                    <w:t>2</w:t>
                  </w:r>
                  <w:r>
                    <w:rPr>
                      <w:rFonts w:hint="eastAsia" w:ascii="Times New Roman" w:hAnsi="Times New Roman" w:cs="Times New Roman"/>
                      <w:color w:val="auto"/>
                      <w:spacing w:val="0"/>
                      <w:sz w:val="21"/>
                      <w:szCs w:val="21"/>
                      <w:highlight w:val="none"/>
                      <w:vertAlign w:val="baseline"/>
                      <w:lang w:val="en-US" w:eastAsia="zh-CN"/>
                    </w:rPr>
                    <w:t>，可满足需求</w:t>
                  </w:r>
                  <w:r>
                    <w:rPr>
                      <w:rFonts w:hint="eastAsia"/>
                      <w:color w:val="auto"/>
                      <w:sz w:val="21"/>
                      <w:szCs w:val="21"/>
                      <w:highlight w:val="none"/>
                      <w:lang w:val="en-US" w:eastAsia="zh-CN"/>
                    </w:rPr>
                    <w:t>，依托可行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lang w:val="en-US" w:eastAsia="zh-CN"/>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生产区</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本项目依托现有生产车间内的生产区中闲置区域，购置相关设备，可满足生产需求，依托可行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ascii="宋体" w:hAnsi="宋体" w:cs="宋体"/>
                      <w:color w:val="auto"/>
                      <w:sz w:val="21"/>
                      <w:szCs w:val="21"/>
                      <w:highlight w:val="none"/>
                      <w:lang w:val="en-US" w:eastAsia="zh-CN"/>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办公区</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本项目依托现有生产车间内的办公区，办公人数均由现有工程调剂，依托可行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163"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环保工程</w:t>
                  </w:r>
                </w:p>
              </w:tc>
              <w:tc>
                <w:tcPr>
                  <w:tcW w:w="1402"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废气</w:t>
                  </w:r>
                </w:p>
              </w:tc>
              <w:tc>
                <w:tcPr>
                  <w:tcW w:w="114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镀膜废气（现有）</w:t>
                  </w:r>
                </w:p>
              </w:tc>
              <w:tc>
                <w:tcPr>
                  <w:tcW w:w="3496"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镀膜机采取封闭措施，并在设备上方设置引风管道，通过风机将废气引入1套三级串联的碱液喷淋塔</w:t>
                  </w:r>
                  <w:r>
                    <w:rPr>
                      <w:rFonts w:hint="eastAsia" w:cs="Times New Roman"/>
                      <w:color w:val="auto"/>
                      <w:kern w:val="2"/>
                      <w:sz w:val="21"/>
                      <w:szCs w:val="21"/>
                      <w:highlight w:val="none"/>
                      <w:lang w:val="en-US" w:eastAsia="zh-CN" w:bidi="ar-SA"/>
                    </w:rPr>
                    <w:t>（TA001）</w:t>
                  </w:r>
                  <w:r>
                    <w:rPr>
                      <w:rFonts w:hint="default" w:ascii="Times New Roman" w:hAnsi="Times New Roman" w:eastAsia="宋体" w:cs="Times New Roman"/>
                      <w:color w:val="auto"/>
                      <w:kern w:val="2"/>
                      <w:sz w:val="21"/>
                      <w:szCs w:val="21"/>
                      <w:highlight w:val="none"/>
                      <w:lang w:val="en-US" w:eastAsia="zh-CN" w:bidi="ar-SA"/>
                    </w:rPr>
                    <w:t>进行净化处理</w:t>
                  </w:r>
                </w:p>
              </w:tc>
              <w:tc>
                <w:tcPr>
                  <w:tcW w:w="1073"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经TA001、TA002处理的废气通过1根30m高排气筒（DA001）排放至大气中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14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烘干及烧结还原废气（现有）</w:t>
                  </w:r>
                </w:p>
              </w:tc>
              <w:tc>
                <w:tcPr>
                  <w:tcW w:w="3496"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烘干和烧结还原过程</w:t>
                  </w:r>
                  <w:r>
                    <w:rPr>
                      <w:rFonts w:hint="eastAsia" w:cs="Times New Roman"/>
                      <w:color w:val="auto"/>
                      <w:kern w:val="2"/>
                      <w:sz w:val="21"/>
                      <w:szCs w:val="21"/>
                      <w:highlight w:val="none"/>
                      <w:lang w:val="en-US" w:eastAsia="zh-CN" w:bidi="ar-SA"/>
                    </w:rPr>
                    <w:t>设备密闭</w:t>
                  </w:r>
                  <w:r>
                    <w:rPr>
                      <w:rFonts w:hint="default" w:ascii="Times New Roman" w:hAnsi="Times New Roman" w:eastAsia="宋体" w:cs="Times New Roman"/>
                      <w:color w:val="auto"/>
                      <w:kern w:val="2"/>
                      <w:sz w:val="21"/>
                      <w:szCs w:val="21"/>
                      <w:highlight w:val="none"/>
                      <w:lang w:val="en-US" w:eastAsia="zh-CN" w:bidi="ar-SA"/>
                    </w:rPr>
                    <w:t>，在各烘干</w:t>
                  </w:r>
                  <w:r>
                    <w:rPr>
                      <w:rFonts w:hint="eastAsia" w:cs="Times New Roman"/>
                      <w:color w:val="auto"/>
                      <w:kern w:val="2"/>
                      <w:sz w:val="21"/>
                      <w:szCs w:val="21"/>
                      <w:highlight w:val="none"/>
                      <w:lang w:val="en-US" w:eastAsia="zh-CN" w:bidi="ar-SA"/>
                    </w:rPr>
                    <w:t>炉</w:t>
                  </w:r>
                  <w:r>
                    <w:rPr>
                      <w:rFonts w:hint="default" w:ascii="Times New Roman" w:hAnsi="Times New Roman" w:eastAsia="宋体" w:cs="Times New Roman"/>
                      <w:color w:val="auto"/>
                      <w:kern w:val="2"/>
                      <w:sz w:val="21"/>
                      <w:szCs w:val="21"/>
                      <w:highlight w:val="none"/>
                      <w:lang w:val="en-US" w:eastAsia="zh-CN" w:bidi="ar-SA"/>
                    </w:rPr>
                    <w:t>和烧熔炉的出口上方设置集气罩</w:t>
                  </w:r>
                  <w:r>
                    <w:rPr>
                      <w:rFonts w:hint="eastAsia" w:cs="Times New Roman"/>
                      <w:color w:val="auto"/>
                      <w:kern w:val="2"/>
                      <w:sz w:val="21"/>
                      <w:szCs w:val="21"/>
                      <w:highlight w:val="none"/>
                      <w:lang w:val="en-US" w:eastAsia="zh-CN" w:bidi="ar-SA"/>
                    </w:rPr>
                    <w:t>；覆膜印刷机、覆膜烘干机封闭，在设备上方设置集气管道；自动覆膜机上方设置集气罩，采用</w:t>
                  </w:r>
                  <w:r>
                    <w:rPr>
                      <w:rFonts w:hint="default" w:ascii="Times New Roman" w:hAnsi="Times New Roman" w:eastAsia="宋体" w:cs="Times New Roman"/>
                      <w:color w:val="auto"/>
                      <w:kern w:val="2"/>
                      <w:sz w:val="21"/>
                      <w:szCs w:val="21"/>
                      <w:highlight w:val="none"/>
                      <w:lang w:val="en-US" w:eastAsia="zh-CN" w:bidi="ar-SA"/>
                    </w:rPr>
                    <w:t>风机将</w:t>
                  </w:r>
                  <w:r>
                    <w:rPr>
                      <w:rFonts w:hint="eastAsia" w:cs="Times New Roman"/>
                      <w:color w:val="auto"/>
                      <w:kern w:val="2"/>
                      <w:sz w:val="21"/>
                      <w:szCs w:val="21"/>
                      <w:highlight w:val="none"/>
                      <w:lang w:val="en-US" w:eastAsia="zh-CN" w:bidi="ar-SA"/>
                    </w:rPr>
                    <w:t>印刷、印刷烘干、覆膜、烘干及烧结还原过程产生的废气</w:t>
                  </w:r>
                  <w:r>
                    <w:rPr>
                      <w:rFonts w:hint="default" w:ascii="Times New Roman" w:hAnsi="Times New Roman" w:eastAsia="宋体" w:cs="Times New Roman"/>
                      <w:color w:val="auto"/>
                      <w:kern w:val="2"/>
                      <w:sz w:val="21"/>
                      <w:szCs w:val="21"/>
                      <w:highlight w:val="none"/>
                      <w:lang w:val="en-US" w:eastAsia="zh-CN" w:bidi="ar-SA"/>
                    </w:rPr>
                    <w:t>引入1套</w:t>
                  </w:r>
                  <w:r>
                    <w:rPr>
                      <w:rFonts w:hint="eastAsia" w:cs="Times New Roman"/>
                      <w:color w:val="auto"/>
                      <w:kern w:val="2"/>
                      <w:sz w:val="21"/>
                      <w:szCs w:val="21"/>
                      <w:highlight w:val="none"/>
                      <w:lang w:val="en-US" w:eastAsia="zh-CN" w:bidi="ar-SA"/>
                    </w:rPr>
                    <w:t>两级</w:t>
                  </w:r>
                  <w:r>
                    <w:rPr>
                      <w:rFonts w:hint="default" w:ascii="Times New Roman" w:hAnsi="Times New Roman" w:eastAsia="宋体" w:cs="Times New Roman"/>
                      <w:color w:val="auto"/>
                      <w:kern w:val="2"/>
                      <w:sz w:val="21"/>
                      <w:szCs w:val="21"/>
                      <w:highlight w:val="none"/>
                      <w:lang w:val="en-US" w:eastAsia="zh-CN" w:bidi="ar-SA"/>
                    </w:rPr>
                    <w:t>活性炭吸附装置</w:t>
                  </w:r>
                  <w:r>
                    <w:rPr>
                      <w:rFonts w:hint="eastAsia" w:cs="Times New Roman"/>
                      <w:color w:val="auto"/>
                      <w:kern w:val="2"/>
                      <w:sz w:val="21"/>
                      <w:szCs w:val="21"/>
                      <w:highlight w:val="none"/>
                      <w:lang w:val="en-US" w:eastAsia="zh-CN" w:bidi="ar-SA"/>
                    </w:rPr>
                    <w:t>（TA002）</w:t>
                  </w:r>
                  <w:r>
                    <w:rPr>
                      <w:rFonts w:hint="default" w:ascii="Times New Roman" w:hAnsi="Times New Roman" w:eastAsia="宋体" w:cs="Times New Roman"/>
                      <w:color w:val="auto"/>
                      <w:kern w:val="2"/>
                      <w:sz w:val="21"/>
                      <w:szCs w:val="21"/>
                      <w:highlight w:val="none"/>
                      <w:lang w:val="en-US" w:eastAsia="zh-CN" w:bidi="ar-SA"/>
                    </w:rPr>
                    <w:t>进行净化处理</w:t>
                  </w:r>
                </w:p>
              </w:tc>
              <w:tc>
                <w:tcPr>
                  <w:tcW w:w="107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14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印刷、印刷烘干、覆膜废气</w:t>
                  </w:r>
                </w:p>
              </w:tc>
              <w:tc>
                <w:tcPr>
                  <w:tcW w:w="3496"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7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废水</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本项目无废水产生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噪声</w:t>
                  </w:r>
                </w:p>
              </w:tc>
              <w:tc>
                <w:tcPr>
                  <w:tcW w:w="5712" w:type="dxa"/>
                  <w:gridSpan w:val="3"/>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w:t>
                  </w:r>
                  <w:r>
                    <w:rPr>
                      <w:rFonts w:hint="eastAsia" w:ascii="Times New Roman" w:hAnsi="Times New Roman" w:cs="Times New Roman"/>
                      <w:color w:val="auto"/>
                      <w:sz w:val="21"/>
                      <w:szCs w:val="21"/>
                      <w:highlight w:val="none"/>
                      <w:lang w:val="en-US" w:eastAsia="zh-CN"/>
                    </w:rPr>
                    <w:t>采取</w:t>
                  </w:r>
                  <w:r>
                    <w:rPr>
                      <w:rFonts w:hint="default" w:ascii="Times New Roman" w:hAnsi="Times New Roman" w:cs="Times New Roman"/>
                      <w:color w:val="auto"/>
                      <w:sz w:val="21"/>
                      <w:szCs w:val="21"/>
                      <w:highlight w:val="none"/>
                    </w:rPr>
                    <w:t>厂房隔声、基础减振等措施降噪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p>
              </w:tc>
              <w:tc>
                <w:tcPr>
                  <w:tcW w:w="1402" w:type="dxa"/>
                  <w:vMerge w:val="restart"/>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ascii="宋体" w:hAnsi="宋体" w:cs="宋体"/>
                      <w:color w:val="auto"/>
                      <w:sz w:val="21"/>
                      <w:szCs w:val="21"/>
                      <w:highlight w:val="none"/>
                    </w:rPr>
                  </w:pPr>
                  <w:r>
                    <w:rPr>
                      <w:rFonts w:hint="eastAsia" w:ascii="宋体" w:hAnsi="宋体" w:cs="宋体"/>
                      <w:color w:val="auto"/>
                      <w:sz w:val="21"/>
                      <w:szCs w:val="21"/>
                      <w:highlight w:val="none"/>
                    </w:rPr>
                    <w:t>固废</w:t>
                  </w:r>
                </w:p>
              </w:tc>
              <w:tc>
                <w:tcPr>
                  <w:tcW w:w="114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一般工业固体废物</w:t>
                  </w:r>
                </w:p>
              </w:tc>
              <w:tc>
                <w:tcPr>
                  <w:tcW w:w="4569" w:type="dxa"/>
                  <w:gridSpan w:val="2"/>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生产过程产生的废包装物，裁切过程产生的PET膜边角料、PVC膜边角料，集中收集，暂存于一般固废储存区，外售废品回收站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rPr>
                  </w:pPr>
                </w:p>
              </w:tc>
              <w:tc>
                <w:tcPr>
                  <w:tcW w:w="1402"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rPr>
                  </w:pPr>
                </w:p>
              </w:tc>
              <w:tc>
                <w:tcPr>
                  <w:tcW w:w="1143"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危险废物</w:t>
                  </w:r>
                </w:p>
              </w:tc>
              <w:tc>
                <w:tcPr>
                  <w:tcW w:w="4569"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lang w:val="en-US" w:eastAsia="zh-CN"/>
                    </w:rPr>
                  </w:pPr>
                  <w:r>
                    <w:rPr>
                      <w:rFonts w:hint="eastAsia"/>
                      <w:color w:val="auto"/>
                      <w:lang w:val="en-US" w:eastAsia="zh-CN"/>
                    </w:rPr>
                    <w:t>设备维护保养过程产生的废润滑油、废润滑油桶，生产过程产生的废包装桶（导电浆料配制原料包装桶），暂存于危废间，定期委托有资质单位进行处置；废气治理设施产生的废活性炭，直接由有资质单位运走处置，不再厂区内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63" w:type="dxa"/>
                  <w:vMerge w:val="continue"/>
                  <w:vAlign w:val="center"/>
                </w:tcPr>
                <w:p>
                  <w:pPr>
                    <w:keepNext w:val="0"/>
                    <w:keepLines w:val="0"/>
                    <w:pageBreakBefore w:val="0"/>
                    <w:widowControl/>
                    <w:kinsoku/>
                    <w:wordWrap/>
                    <w:overflowPunct/>
                    <w:topLinePunct w:val="0"/>
                    <w:autoSpaceDN w:val="0"/>
                    <w:bidi w:val="0"/>
                    <w:snapToGrid/>
                    <w:spacing w:line="240" w:lineRule="auto"/>
                    <w:ind w:firstLine="0" w:firstLineChars="0"/>
                    <w:jc w:val="left"/>
                    <w:textAlignment w:val="auto"/>
                    <w:rPr>
                      <w:color w:val="auto"/>
                    </w:rPr>
                  </w:pPr>
                </w:p>
              </w:tc>
              <w:tc>
                <w:tcPr>
                  <w:tcW w:w="1402" w:type="dxa"/>
                  <w:vAlign w:val="center"/>
                </w:tcPr>
                <w:p>
                  <w:pPr>
                    <w:keepNext w:val="0"/>
                    <w:keepLines w:val="0"/>
                    <w:pageBreakBefore w:val="0"/>
                    <w:widowControl/>
                    <w:kinsoku/>
                    <w:wordWrap/>
                    <w:overflowPunct/>
                    <w:topLinePunct w:val="0"/>
                    <w:autoSpaceDN w:val="0"/>
                    <w:bidi w:val="0"/>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防渗</w:t>
                  </w:r>
                </w:p>
              </w:tc>
              <w:tc>
                <w:tcPr>
                  <w:tcW w:w="5712"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危废间、危险品储存区、喷淋塔</w:t>
                  </w:r>
                  <w:r>
                    <w:rPr>
                      <w:rFonts w:hint="eastAsia"/>
                      <w:color w:val="auto"/>
                      <w:sz w:val="21"/>
                      <w:szCs w:val="21"/>
                      <w:highlight w:val="none"/>
                    </w:rPr>
                    <w:t>为重点防渗区，</w:t>
                  </w:r>
                  <w:r>
                    <w:rPr>
                      <w:color w:val="auto"/>
                      <w:sz w:val="21"/>
                      <w:szCs w:val="21"/>
                      <w:highlight w:val="none"/>
                    </w:rPr>
                    <w:t>其他</w:t>
                  </w:r>
                  <w:r>
                    <w:rPr>
                      <w:rFonts w:hint="eastAsia"/>
                      <w:color w:val="auto"/>
                      <w:sz w:val="21"/>
                      <w:szCs w:val="21"/>
                      <w:highlight w:val="none"/>
                      <w:lang w:val="en-US" w:eastAsia="zh-CN"/>
                    </w:rPr>
                    <w:t>生产</w:t>
                  </w:r>
                  <w:r>
                    <w:rPr>
                      <w:color w:val="auto"/>
                      <w:sz w:val="21"/>
                      <w:szCs w:val="21"/>
                      <w:highlight w:val="none"/>
                    </w:rPr>
                    <w:t>区域</w:t>
                  </w:r>
                  <w:r>
                    <w:rPr>
                      <w:rFonts w:hint="eastAsia"/>
                      <w:color w:val="auto"/>
                      <w:sz w:val="21"/>
                      <w:szCs w:val="21"/>
                      <w:highlight w:val="none"/>
                    </w:rPr>
                    <w:t>为一般防渗区</w:t>
                  </w:r>
                  <w:r>
                    <w:rPr>
                      <w:rFonts w:hint="eastAsia"/>
                      <w:color w:val="auto"/>
                      <w:sz w:val="21"/>
                      <w:szCs w:val="21"/>
                      <w:highlight w:val="none"/>
                      <w:lang w:eastAsia="zh-CN"/>
                    </w:rPr>
                    <w:t>，</w:t>
                  </w:r>
                  <w:r>
                    <w:rPr>
                      <w:rFonts w:hint="eastAsia"/>
                      <w:color w:val="auto"/>
                      <w:sz w:val="21"/>
                      <w:szCs w:val="21"/>
                      <w:highlight w:val="none"/>
                      <w:lang w:val="en-US" w:eastAsia="zh-CN"/>
                    </w:rPr>
                    <w:t>办公区、厂区地面为简单防渗区</w:t>
                  </w:r>
                  <w:r>
                    <w:rPr>
                      <w:rFonts w:hint="eastAsia"/>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rPr>
                    <w:t>①</w:t>
                  </w:r>
                  <w:r>
                    <w:rPr>
                      <w:rFonts w:ascii="Times New Roman" w:hAnsi="Times New Roman" w:eastAsia="宋体"/>
                      <w:color w:val="auto"/>
                      <w:sz w:val="21"/>
                      <w:szCs w:val="21"/>
                      <w:highlight w:val="none"/>
                    </w:rPr>
                    <w:t>重点防渗区：该分区需要做</w:t>
                  </w:r>
                  <w:r>
                    <w:rPr>
                      <w:rFonts w:hint="eastAsia" w:ascii="Times New Roman" w:hAnsi="Times New Roman" w:eastAsia="宋体"/>
                      <w:color w:val="auto"/>
                      <w:sz w:val="21"/>
                      <w:szCs w:val="21"/>
                      <w:highlight w:val="none"/>
                      <w:lang w:val="en-US" w:eastAsia="zh-CN"/>
                    </w:rPr>
                    <w:t>防</w:t>
                  </w:r>
                  <w:r>
                    <w:rPr>
                      <w:rFonts w:ascii="Times New Roman" w:hAnsi="Times New Roman" w:eastAsia="宋体"/>
                      <w:color w:val="auto"/>
                      <w:sz w:val="21"/>
                      <w:szCs w:val="21"/>
                      <w:highlight w:val="none"/>
                    </w:rPr>
                    <w:t>渗处理</w:t>
                  </w:r>
                  <w:r>
                    <w:rPr>
                      <w:rFonts w:hint="eastAsia"/>
                      <w:color w:val="auto"/>
                      <w:sz w:val="21"/>
                      <w:szCs w:val="21"/>
                      <w:highlight w:val="none"/>
                      <w:lang w:val="en-US" w:eastAsia="zh-CN"/>
                    </w:rPr>
                    <w:t>，现有危废间、危险品储存区、碱液喷淋塔，已按重点防渗区要求做好防渗，本项目新增润滑油、导电浆料原料均储存于现有危险品储存区，新增危废除活性炭外均储存于现有危废间。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②</w:t>
                  </w:r>
                  <w:r>
                    <w:rPr>
                      <w:rFonts w:ascii="Times New Roman" w:hAnsi="Times New Roman" w:eastAsia="宋体"/>
                      <w:color w:val="auto"/>
                      <w:sz w:val="21"/>
                      <w:szCs w:val="21"/>
                      <w:highlight w:val="none"/>
                    </w:rPr>
                    <w:t>一般防渗区：</w:t>
                  </w:r>
                  <w:r>
                    <w:rPr>
                      <w:rFonts w:hint="eastAsia" w:ascii="Times New Roman" w:hAnsi="Times New Roman" w:eastAsia="宋体"/>
                      <w:color w:val="auto"/>
                      <w:sz w:val="21"/>
                      <w:szCs w:val="21"/>
                      <w:highlight w:val="none"/>
                    </w:rPr>
                    <w:t>生产车间</w:t>
                  </w:r>
                  <w:r>
                    <w:rPr>
                      <w:rFonts w:ascii="Times New Roman" w:hAnsi="Times New Roman" w:eastAsia="宋体"/>
                      <w:color w:val="auto"/>
                      <w:sz w:val="21"/>
                      <w:szCs w:val="21"/>
                      <w:highlight w:val="none"/>
                    </w:rPr>
                    <w:t>其他区域的建设进行基础防渗处理，需满足等效黏土防渗层Mb≥6.0m，K≤1×10</w:t>
                  </w:r>
                  <w:r>
                    <w:rPr>
                      <w:rFonts w:ascii="Times New Roman" w:hAnsi="Times New Roman" w:eastAsia="宋体"/>
                      <w:color w:val="auto"/>
                      <w:sz w:val="21"/>
                      <w:szCs w:val="21"/>
                      <w:highlight w:val="none"/>
                      <w:vertAlign w:val="superscript"/>
                    </w:rPr>
                    <w:t>-7</w:t>
                  </w:r>
                  <w:r>
                    <w:rPr>
                      <w:rFonts w:ascii="Times New Roman" w:hAnsi="Times New Roman" w:eastAsia="宋体"/>
                      <w:color w:val="auto"/>
                      <w:sz w:val="21"/>
                      <w:szCs w:val="21"/>
                      <w:highlight w:val="none"/>
                    </w:rPr>
                    <w:t>cm/s</w:t>
                  </w:r>
                  <w:r>
                    <w:rPr>
                      <w:rFonts w:hint="eastAsia"/>
                      <w:color w:val="auto"/>
                      <w:sz w:val="21"/>
                      <w:szCs w:val="21"/>
                      <w:highlight w:val="none"/>
                      <w:lang w:eastAsia="zh-CN"/>
                    </w:rPr>
                    <w:t>，</w:t>
                  </w:r>
                  <w:r>
                    <w:rPr>
                      <w:rFonts w:hint="eastAsia"/>
                      <w:color w:val="auto"/>
                      <w:sz w:val="21"/>
                      <w:szCs w:val="21"/>
                      <w:highlight w:val="none"/>
                      <w:lang w:val="en-US" w:eastAsia="zh-CN"/>
                    </w:rPr>
                    <w:t>使用油品设备区下设防渗托盘，确保废油不落地</w:t>
                  </w:r>
                  <w:r>
                    <w:rPr>
                      <w:rFonts w:ascii="Times New Roman" w:hAnsi="Times New Roman" w:eastAsia="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lang w:val="en-US" w:eastAsia="zh-CN"/>
                    </w:rPr>
                  </w:pPr>
                  <w:r>
                    <w:rPr>
                      <w:rFonts w:hint="eastAsia" w:ascii="Times New Roman" w:hAnsi="Times New Roman" w:eastAsia="宋体"/>
                      <w:color w:val="auto"/>
                      <w:sz w:val="21"/>
                      <w:szCs w:val="21"/>
                      <w:highlight w:val="none"/>
                    </w:rPr>
                    <w:t>③</w:t>
                  </w:r>
                  <w:r>
                    <w:rPr>
                      <w:rFonts w:hint="eastAsia"/>
                      <w:color w:val="auto"/>
                      <w:sz w:val="21"/>
                      <w:szCs w:val="21"/>
                      <w:highlight w:val="none"/>
                      <w:lang w:val="en-US" w:eastAsia="zh-CN"/>
                    </w:rPr>
                    <w:t>简单防渗区：办公区地面硬化，厂区地面非硬即绿。</w:t>
                  </w:r>
                </w:p>
              </w:tc>
            </w:tr>
          </w:tbl>
          <w:p>
            <w:pPr>
              <w:bidi w:val="0"/>
              <w:rPr>
                <w:rFonts w:hint="eastAsia"/>
                <w:color w:val="auto"/>
                <w:highlight w:val="none"/>
                <w:lang w:val="en-US" w:eastAsia="zh-CN"/>
              </w:rPr>
            </w:pPr>
            <w:r>
              <w:rPr>
                <w:rFonts w:hint="eastAsia"/>
                <w:color w:val="auto"/>
                <w:highlight w:val="none"/>
                <w:lang w:val="en-US" w:eastAsia="zh-CN"/>
              </w:rPr>
              <w:t>6、主要产品及产能：本项目建成后全厂年产石墨烯电发热体8万套，年产节能速热电锅炉5万台，具体产品方案见下表。</w:t>
            </w:r>
          </w:p>
          <w:p>
            <w:pPr>
              <w:pStyle w:val="31"/>
              <w:bidi w:val="0"/>
              <w:rPr>
                <w:rFonts w:hint="eastAsia" w:ascii="Times New Roman" w:hAnsi="Times New Roman" w:eastAsia="宋体"/>
                <w:color w:val="auto"/>
              </w:rPr>
            </w:pPr>
            <w:r>
              <w:rPr>
                <w:rFonts w:hint="eastAsia" w:ascii="Times New Roman" w:hAnsi="Times New Roman" w:eastAsia="宋体"/>
                <w:color w:val="auto"/>
              </w:rPr>
              <w:t>表</w:t>
            </w:r>
            <w:r>
              <w:rPr>
                <w:rFonts w:hint="eastAsia" w:ascii="Times New Roman" w:hAnsi="Times New Roman" w:eastAsia="宋体"/>
                <w:color w:val="auto"/>
                <w:lang w:val="en-US" w:eastAsia="zh-CN"/>
              </w:rPr>
              <w:t>14</w:t>
            </w:r>
            <w:r>
              <w:rPr>
                <w:rFonts w:hint="eastAsia" w:ascii="Times New Roman" w:hAnsi="Times New Roman" w:eastAsia="宋体"/>
                <w:color w:val="auto"/>
              </w:rPr>
              <w:t xml:space="preserve">  </w:t>
            </w:r>
            <w:r>
              <w:rPr>
                <w:rFonts w:hint="eastAsia" w:ascii="Times New Roman" w:hAnsi="Times New Roman" w:eastAsia="宋体"/>
                <w:color w:val="auto"/>
                <w:lang w:val="en-US" w:eastAsia="zh-CN"/>
              </w:rPr>
              <w:t>本项目建成后全厂</w:t>
            </w:r>
            <w:r>
              <w:rPr>
                <w:rFonts w:hint="eastAsia" w:ascii="Times New Roman" w:hAnsi="Times New Roman" w:eastAsia="宋体"/>
                <w:color w:val="auto"/>
              </w:rPr>
              <w:t>产品方案一览表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425"/>
              <w:gridCol w:w="1800"/>
              <w:gridCol w:w="1305"/>
              <w:gridCol w:w="1125"/>
              <w:gridCol w:w="18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99" w:type="dxa"/>
                  <w:tcBorders>
                    <w:tl2br w:val="nil"/>
                    <w:tr2bl w:val="nil"/>
                  </w:tcBorders>
                  <w:vAlign w:val="center"/>
                </w:tcPr>
                <w:p>
                  <w:pPr>
                    <w:pStyle w:val="32"/>
                    <w:bidi w:val="0"/>
                    <w:rPr>
                      <w:color w:val="auto"/>
                    </w:rPr>
                  </w:pPr>
                  <w:r>
                    <w:rPr>
                      <w:rFonts w:hint="eastAsia"/>
                      <w:color w:val="auto"/>
                    </w:rPr>
                    <w:t>序号</w:t>
                  </w:r>
                </w:p>
              </w:tc>
              <w:tc>
                <w:tcPr>
                  <w:tcW w:w="3225" w:type="dxa"/>
                  <w:gridSpan w:val="2"/>
                  <w:tcBorders>
                    <w:tl2br w:val="nil"/>
                    <w:tr2bl w:val="nil"/>
                  </w:tcBorders>
                  <w:vAlign w:val="center"/>
                </w:tcPr>
                <w:p>
                  <w:pPr>
                    <w:pStyle w:val="32"/>
                    <w:bidi w:val="0"/>
                    <w:rPr>
                      <w:color w:val="auto"/>
                    </w:rPr>
                  </w:pPr>
                  <w:r>
                    <w:rPr>
                      <w:rFonts w:hint="eastAsia"/>
                      <w:color w:val="auto"/>
                    </w:rPr>
                    <w:t>产品名称</w:t>
                  </w:r>
                </w:p>
              </w:tc>
              <w:tc>
                <w:tcPr>
                  <w:tcW w:w="1305" w:type="dxa"/>
                  <w:tcBorders>
                    <w:tl2br w:val="nil"/>
                    <w:tr2bl w:val="nil"/>
                  </w:tcBorders>
                  <w:vAlign w:val="center"/>
                </w:tcPr>
                <w:p>
                  <w:pPr>
                    <w:pStyle w:val="32"/>
                    <w:bidi w:val="0"/>
                    <w:rPr>
                      <w:color w:val="auto"/>
                    </w:rPr>
                  </w:pPr>
                  <w:r>
                    <w:rPr>
                      <w:rFonts w:hint="eastAsia"/>
                      <w:color w:val="auto"/>
                    </w:rPr>
                    <w:t>产量</w:t>
                  </w:r>
                </w:p>
              </w:tc>
              <w:tc>
                <w:tcPr>
                  <w:tcW w:w="1125" w:type="dxa"/>
                  <w:tcBorders>
                    <w:tl2br w:val="nil"/>
                    <w:tr2bl w:val="nil"/>
                  </w:tcBorders>
                  <w:vAlign w:val="center"/>
                </w:tcPr>
                <w:p>
                  <w:pPr>
                    <w:pStyle w:val="32"/>
                    <w:bidi w:val="0"/>
                    <w:rPr>
                      <w:color w:val="auto"/>
                    </w:rPr>
                  </w:pPr>
                  <w:r>
                    <w:rPr>
                      <w:rFonts w:hint="eastAsia"/>
                      <w:color w:val="auto"/>
                    </w:rPr>
                    <w:t>单位</w:t>
                  </w:r>
                </w:p>
              </w:tc>
              <w:tc>
                <w:tcPr>
                  <w:tcW w:w="1823" w:type="dxa"/>
                  <w:tcBorders>
                    <w:tl2br w:val="nil"/>
                    <w:tr2bl w:val="nil"/>
                  </w:tcBorders>
                  <w:vAlign w:val="center"/>
                </w:tcPr>
                <w:p>
                  <w:pPr>
                    <w:pStyle w:val="32"/>
                    <w:bidi w:val="0"/>
                    <w:rPr>
                      <w:rFonts w:hint="eastAsia" w:eastAsia="宋体"/>
                      <w:color w:val="auto"/>
                      <w:lang w:val="en-US" w:eastAsia="zh-CN"/>
                    </w:rPr>
                  </w:pPr>
                  <w:r>
                    <w:rPr>
                      <w:rFonts w:hint="eastAsia"/>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tcBorders>
                    <w:tl2br w:val="nil"/>
                    <w:tr2bl w:val="nil"/>
                  </w:tcBorders>
                  <w:vAlign w:val="center"/>
                </w:tcPr>
                <w:p>
                  <w:pPr>
                    <w:pStyle w:val="32"/>
                    <w:numPr>
                      <w:ilvl w:val="0"/>
                      <w:numId w:val="13"/>
                    </w:numPr>
                    <w:bidi w:val="0"/>
                    <w:ind w:left="0" w:leftChars="0" w:firstLine="0" w:firstLineChars="0"/>
                    <w:rPr>
                      <w:color w:val="auto"/>
                    </w:rPr>
                  </w:pPr>
                </w:p>
              </w:tc>
              <w:tc>
                <w:tcPr>
                  <w:tcW w:w="142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lang w:eastAsia="zh-CN"/>
                    </w:rPr>
                  </w:pPr>
                  <w:r>
                    <w:rPr>
                      <w:rFonts w:hint="eastAsia"/>
                      <w:color w:val="auto"/>
                    </w:rPr>
                    <w:t>石墨烯电发热元件</w:t>
                  </w:r>
                </w:p>
              </w:tc>
              <w:tc>
                <w:tcPr>
                  <w:tcW w:w="18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rPr>
                  </w:pPr>
                  <w:r>
                    <w:rPr>
                      <w:rFonts w:hint="eastAsia"/>
                      <w:color w:val="auto"/>
                      <w:lang w:val="en-US" w:eastAsia="zh-CN"/>
                    </w:rPr>
                    <w:t>石墨烯电发热体</w:t>
                  </w:r>
                </w:p>
              </w:tc>
              <w:tc>
                <w:tcPr>
                  <w:tcW w:w="1305" w:type="dxa"/>
                  <w:tcBorders>
                    <w:tl2br w:val="nil"/>
                    <w:tr2bl w:val="nil"/>
                  </w:tcBorders>
                  <w:vAlign w:val="center"/>
                </w:tcPr>
                <w:p>
                  <w:pPr>
                    <w:pStyle w:val="32"/>
                    <w:bidi w:val="0"/>
                    <w:rPr>
                      <w:rFonts w:hint="default" w:eastAsia="宋体"/>
                      <w:color w:val="auto"/>
                      <w:lang w:val="en-US" w:eastAsia="zh-CN"/>
                    </w:rPr>
                  </w:pPr>
                  <w:r>
                    <w:rPr>
                      <w:rFonts w:hint="eastAsia"/>
                      <w:color w:val="auto"/>
                      <w:lang w:val="en-US" w:eastAsia="zh-CN"/>
                    </w:rPr>
                    <w:t>70000</w:t>
                  </w:r>
                </w:p>
              </w:tc>
              <w:tc>
                <w:tcPr>
                  <w:tcW w:w="1125" w:type="dxa"/>
                  <w:tcBorders>
                    <w:tl2br w:val="nil"/>
                    <w:tr2bl w:val="nil"/>
                  </w:tcBorders>
                  <w:vAlign w:val="center"/>
                </w:tcPr>
                <w:p>
                  <w:pPr>
                    <w:pStyle w:val="32"/>
                    <w:bidi w:val="0"/>
                    <w:rPr>
                      <w:color w:val="auto"/>
                    </w:rPr>
                  </w:pPr>
                  <w:r>
                    <w:rPr>
                      <w:rFonts w:hint="eastAsia"/>
                      <w:color w:val="auto"/>
                    </w:rPr>
                    <w:t>套</w:t>
                  </w:r>
                  <w:r>
                    <w:rPr>
                      <w:color w:val="auto"/>
                    </w:rPr>
                    <w:t>/a</w:t>
                  </w:r>
                </w:p>
              </w:tc>
              <w:tc>
                <w:tcPr>
                  <w:tcW w:w="1823" w:type="dxa"/>
                  <w:tcBorders>
                    <w:tl2br w:val="nil"/>
                    <w:tr2bl w:val="nil"/>
                  </w:tcBorders>
                  <w:vAlign w:val="center"/>
                </w:tcPr>
                <w:p>
                  <w:pPr>
                    <w:pStyle w:val="3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50000套用于生产节能速热电锅炉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tcBorders>
                    <w:tl2br w:val="nil"/>
                    <w:tr2bl w:val="nil"/>
                  </w:tcBorders>
                  <w:vAlign w:val="center"/>
                </w:tcPr>
                <w:p>
                  <w:pPr>
                    <w:pStyle w:val="32"/>
                    <w:numPr>
                      <w:ilvl w:val="0"/>
                      <w:numId w:val="13"/>
                    </w:numPr>
                    <w:bidi w:val="0"/>
                    <w:ind w:left="0" w:leftChars="0" w:firstLine="0" w:firstLineChars="0"/>
                    <w:rPr>
                      <w:rFonts w:hint="eastAsia"/>
                      <w:color w:val="auto"/>
                    </w:rPr>
                  </w:pPr>
                </w:p>
              </w:tc>
              <w:tc>
                <w:tcPr>
                  <w:tcW w:w="142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color w:val="auto"/>
                    </w:rPr>
                  </w:pPr>
                </w:p>
              </w:tc>
              <w:tc>
                <w:tcPr>
                  <w:tcW w:w="180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lang w:val="en-US" w:eastAsia="zh-CN"/>
                    </w:rPr>
                  </w:pPr>
                  <w:r>
                    <w:rPr>
                      <w:rFonts w:hint="eastAsia"/>
                      <w:color w:val="auto"/>
                      <w:lang w:val="en-US" w:eastAsia="zh-CN"/>
                    </w:rPr>
                    <w:t>石墨烯电发热膜</w:t>
                  </w:r>
                </w:p>
              </w:tc>
              <w:tc>
                <w:tcPr>
                  <w:tcW w:w="1305" w:type="dxa"/>
                  <w:tcBorders>
                    <w:tl2br w:val="nil"/>
                    <w:tr2bl w:val="nil"/>
                  </w:tcBorders>
                  <w:vAlign w:val="center"/>
                </w:tcPr>
                <w:p>
                  <w:pPr>
                    <w:pStyle w:val="32"/>
                    <w:bidi w:val="0"/>
                    <w:rPr>
                      <w:rFonts w:hint="default" w:eastAsia="宋体"/>
                      <w:color w:val="auto"/>
                      <w:lang w:val="en-US" w:eastAsia="zh-CN"/>
                    </w:rPr>
                  </w:pPr>
                  <w:r>
                    <w:rPr>
                      <w:rFonts w:hint="eastAsia"/>
                      <w:color w:val="auto"/>
                      <w:lang w:val="en-US" w:eastAsia="zh-CN"/>
                    </w:rPr>
                    <w:t>10000</w:t>
                  </w:r>
                </w:p>
              </w:tc>
              <w:tc>
                <w:tcPr>
                  <w:tcW w:w="1125" w:type="dxa"/>
                  <w:tcBorders>
                    <w:tl2br w:val="nil"/>
                    <w:tr2bl w:val="nil"/>
                  </w:tcBorders>
                  <w:vAlign w:val="center"/>
                </w:tcPr>
                <w:p>
                  <w:pPr>
                    <w:pStyle w:val="32"/>
                    <w:bidi w:val="0"/>
                    <w:rPr>
                      <w:rFonts w:hint="eastAsia"/>
                      <w:color w:val="auto"/>
                    </w:rPr>
                  </w:pPr>
                  <w:r>
                    <w:rPr>
                      <w:rFonts w:hint="eastAsia"/>
                      <w:color w:val="auto"/>
                    </w:rPr>
                    <w:t>套/a</w:t>
                  </w:r>
                </w:p>
              </w:tc>
              <w:tc>
                <w:tcPr>
                  <w:tcW w:w="1823" w:type="dxa"/>
                  <w:tcBorders>
                    <w:tl2br w:val="nil"/>
                    <w:tr2bl w:val="nil"/>
                  </w:tcBorders>
                  <w:vAlign w:val="center"/>
                </w:tcPr>
                <w:p>
                  <w:pPr>
                    <w:pStyle w:val="32"/>
                    <w:bidi w:val="0"/>
                    <w:rPr>
                      <w:rFonts w:hint="default" w:ascii="Times New Roman" w:hAnsi="Times New Roman" w:cs="Times New Roman"/>
                      <w:color w:val="auto"/>
                    </w:rPr>
                  </w:pPr>
                  <w:r>
                    <w:rPr>
                      <w:rFonts w:hint="default" w:ascii="Times New Roman" w:hAnsi="Times New Roman" w:eastAsia="宋体"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tcBorders>
                    <w:tl2br w:val="nil"/>
                    <w:tr2bl w:val="nil"/>
                  </w:tcBorders>
                  <w:vAlign w:val="center"/>
                </w:tcPr>
                <w:p>
                  <w:pPr>
                    <w:pStyle w:val="32"/>
                    <w:numPr>
                      <w:ilvl w:val="0"/>
                      <w:numId w:val="13"/>
                    </w:numPr>
                    <w:bidi w:val="0"/>
                    <w:ind w:left="0" w:leftChars="0" w:firstLine="0" w:firstLineChars="0"/>
                    <w:rPr>
                      <w:rFonts w:hint="eastAsia"/>
                      <w:color w:val="auto"/>
                    </w:rPr>
                  </w:pPr>
                </w:p>
              </w:tc>
              <w:tc>
                <w:tcPr>
                  <w:tcW w:w="3225" w:type="dxa"/>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lang w:val="en-US" w:eastAsia="zh-CN"/>
                    </w:rPr>
                  </w:pPr>
                  <w:r>
                    <w:rPr>
                      <w:rFonts w:hint="eastAsia"/>
                      <w:color w:val="auto"/>
                      <w:lang w:val="en-US" w:eastAsia="zh-CN"/>
                    </w:rPr>
                    <w:t>节能速热电锅炉</w:t>
                  </w:r>
                </w:p>
              </w:tc>
              <w:tc>
                <w:tcPr>
                  <w:tcW w:w="1305" w:type="dxa"/>
                  <w:tcBorders>
                    <w:tl2br w:val="nil"/>
                    <w:tr2bl w:val="nil"/>
                  </w:tcBorders>
                  <w:vAlign w:val="center"/>
                </w:tcPr>
                <w:p>
                  <w:pPr>
                    <w:pStyle w:val="32"/>
                    <w:bidi w:val="0"/>
                    <w:rPr>
                      <w:rFonts w:hint="default"/>
                      <w:color w:val="auto"/>
                      <w:lang w:val="en-US" w:eastAsia="zh-CN"/>
                    </w:rPr>
                  </w:pPr>
                  <w:r>
                    <w:rPr>
                      <w:rFonts w:hint="eastAsia"/>
                      <w:color w:val="auto"/>
                      <w:lang w:val="en-US" w:eastAsia="zh-CN"/>
                    </w:rPr>
                    <w:t>50000</w:t>
                  </w:r>
                </w:p>
              </w:tc>
              <w:tc>
                <w:tcPr>
                  <w:tcW w:w="1125" w:type="dxa"/>
                  <w:tcBorders>
                    <w:tl2br w:val="nil"/>
                    <w:tr2bl w:val="nil"/>
                  </w:tcBorders>
                  <w:vAlign w:val="center"/>
                </w:tcPr>
                <w:p>
                  <w:pPr>
                    <w:pStyle w:val="32"/>
                    <w:bidi w:val="0"/>
                    <w:rPr>
                      <w:rFonts w:hint="default" w:eastAsia="宋体"/>
                      <w:color w:val="auto"/>
                      <w:lang w:val="en-US" w:eastAsia="zh-CN"/>
                    </w:rPr>
                  </w:pPr>
                  <w:r>
                    <w:rPr>
                      <w:rFonts w:hint="eastAsia"/>
                      <w:color w:val="auto"/>
                      <w:lang w:val="en-US" w:eastAsia="zh-CN"/>
                    </w:rPr>
                    <w:t>台/a</w:t>
                  </w:r>
                </w:p>
              </w:tc>
              <w:tc>
                <w:tcPr>
                  <w:tcW w:w="1823" w:type="dxa"/>
                  <w:tcBorders>
                    <w:tl2br w:val="nil"/>
                    <w:tr2bl w:val="nil"/>
                  </w:tcBorders>
                  <w:vAlign w:val="center"/>
                </w:tcPr>
                <w:p>
                  <w:pPr>
                    <w:pStyle w:val="32"/>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电发热体为自产</w:t>
                  </w:r>
                </w:p>
              </w:tc>
            </w:tr>
          </w:tbl>
          <w:p>
            <w:pPr>
              <w:bidi w:val="0"/>
              <w:rPr>
                <w:rFonts w:hint="default"/>
                <w:color w:val="auto"/>
                <w:highlight w:val="none"/>
              </w:rPr>
            </w:pPr>
            <w:r>
              <w:rPr>
                <w:rFonts w:hint="eastAsia"/>
                <w:color w:val="auto"/>
                <w:sz w:val="24"/>
                <w:szCs w:val="24"/>
                <w:highlight w:val="none"/>
                <w:lang w:val="en-US" w:eastAsia="zh-CN"/>
              </w:rPr>
              <w:t>7、</w:t>
            </w:r>
            <w:r>
              <w:rPr>
                <w:rFonts w:hint="default"/>
                <w:color w:val="auto"/>
                <w:sz w:val="24"/>
                <w:szCs w:val="24"/>
                <w:highlight w:val="none"/>
              </w:rPr>
              <w:t>工作制度及定员：</w:t>
            </w:r>
            <w:r>
              <w:rPr>
                <w:rFonts w:hint="eastAsia"/>
                <w:color w:val="auto"/>
                <w:sz w:val="24"/>
                <w:szCs w:val="24"/>
                <w:highlight w:val="none"/>
                <w:lang w:val="en-US" w:eastAsia="zh-CN"/>
              </w:rPr>
              <w:t>本项目不新增劳动定员，本项目建成劳动定员仍为30人。本项目建成后全厂年运行300天，每天3班，每班8h，其中，石墨烯电发热膜生产线年运行4800h，由于淘汰部分石墨烯电发热体生产设备，本项目建成后镀膜、烘干、烧结还原工序由年运行2400h延长至4800h</w:t>
            </w:r>
            <w:r>
              <w:rPr>
                <w:rFonts w:hint="default"/>
                <w:color w:val="auto"/>
                <w:sz w:val="24"/>
                <w:szCs w:val="24"/>
                <w:highlight w:val="none"/>
              </w:rPr>
              <w:t>。</w:t>
            </w:r>
          </w:p>
          <w:p>
            <w:pPr>
              <w:bidi w:val="0"/>
              <w:rPr>
                <w:rFonts w:hint="default"/>
                <w:color w:val="auto"/>
                <w:sz w:val="24"/>
                <w:szCs w:val="24"/>
                <w:highlight w:val="none"/>
              </w:rPr>
            </w:pPr>
            <w:r>
              <w:rPr>
                <w:rFonts w:hint="eastAsia"/>
                <w:color w:val="auto"/>
                <w:sz w:val="24"/>
                <w:szCs w:val="24"/>
                <w:highlight w:val="none"/>
                <w:lang w:val="en-US" w:eastAsia="zh-CN"/>
              </w:rPr>
              <w:t>8、</w:t>
            </w:r>
            <w:r>
              <w:rPr>
                <w:rFonts w:hint="default"/>
                <w:color w:val="auto"/>
                <w:sz w:val="24"/>
                <w:szCs w:val="24"/>
                <w:highlight w:val="none"/>
              </w:rPr>
              <w:t>主要原辅材料及能源消耗见下表。</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表</w:t>
            </w:r>
            <w:r>
              <w:rPr>
                <w:rFonts w:hint="eastAsia"/>
                <w:b/>
                <w:bCs/>
                <w:color w:val="auto"/>
                <w:sz w:val="21"/>
                <w:szCs w:val="21"/>
                <w:highlight w:val="none"/>
                <w:lang w:val="en-US" w:eastAsia="zh-CN"/>
              </w:rPr>
              <w:t>15  本项目原辅材料及能源消耗情况</w:t>
            </w:r>
            <w:r>
              <w:rPr>
                <w:rFonts w:hint="default"/>
                <w:b/>
                <w:bCs/>
                <w:color w:val="auto"/>
                <w:sz w:val="21"/>
                <w:szCs w:val="21"/>
                <w:highlight w:val="none"/>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7"/>
              <w:gridCol w:w="846"/>
              <w:gridCol w:w="1639"/>
              <w:gridCol w:w="1365"/>
              <w:gridCol w:w="1185"/>
              <w:gridCol w:w="25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0" w:hRule="atLeast"/>
                <w:jc w:val="center"/>
              </w:trPr>
              <w:tc>
                <w:tcPr>
                  <w:tcW w:w="70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2485"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1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单位</w:t>
                  </w:r>
                </w:p>
              </w:tc>
              <w:tc>
                <w:tcPr>
                  <w:tcW w:w="118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数量</w:t>
                  </w:r>
                </w:p>
              </w:tc>
              <w:tc>
                <w:tcPr>
                  <w:tcW w:w="25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PET膜</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万m/a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外购，卷状，55kg/卷，宽52mm，厚0.5mm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PVC膜</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万m/a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restart"/>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导电浆料</w:t>
                  </w: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水性有机硅树脂</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2535" w:type="dxa"/>
                  <w:vMerge w:val="restart"/>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外购，本项目所用导电浆料自配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水性丙烯酸树脂</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128</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丙二醇</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石墨烯</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石墨</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碳黑</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846"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639"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异氰酸酯固化剂</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kg/a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2535"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铜带</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万m/a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eastAsia="宋体" w:cs="Times New Roman"/>
                      <w:color w:val="auto"/>
                      <w:kern w:val="8"/>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外购，宽25mm，厚0.2mm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机箱外壳</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万台/a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kern w:val="8"/>
                      <w:sz w:val="21"/>
                      <w:szCs w:val="21"/>
                      <w:highlight w:val="none"/>
                      <w:lang w:val="en-US" w:eastAsia="zh-CN"/>
                    </w:rPr>
                    <w:t>外购，</w:t>
                  </w:r>
                  <w:r>
                    <w:rPr>
                      <w:rFonts w:hint="eastAsia" w:ascii="Times New Roman" w:hAnsi="Times New Roman" w:eastAsia="宋体" w:cs="Times New Roman"/>
                      <w:color w:val="auto"/>
                      <w:kern w:val="8"/>
                      <w:sz w:val="21"/>
                      <w:szCs w:val="21"/>
                      <w:highlight w:val="none"/>
                      <w:lang w:val="en-US" w:eastAsia="zh-CN"/>
                    </w:rPr>
                    <w:t>787mm</w:t>
                  </w:r>
                  <w:r>
                    <w:rPr>
                      <w:rFonts w:hint="default" w:ascii="Times New Roman" w:hAnsi="Times New Roman" w:eastAsia="宋体" w:cs="Times New Roman"/>
                      <w:color w:val="auto"/>
                      <w:kern w:val="8"/>
                      <w:sz w:val="21"/>
                      <w:szCs w:val="21"/>
                      <w:highlight w:val="none"/>
                      <w:lang w:val="en-US" w:eastAsia="zh-CN"/>
                    </w:rPr>
                    <w:t>×</w:t>
                  </w:r>
                  <w:r>
                    <w:rPr>
                      <w:rFonts w:hint="eastAsia" w:ascii="Times New Roman" w:hAnsi="Times New Roman" w:eastAsia="宋体" w:cs="Times New Roman"/>
                      <w:color w:val="auto"/>
                      <w:kern w:val="8"/>
                      <w:sz w:val="21"/>
                      <w:szCs w:val="21"/>
                      <w:highlight w:val="none"/>
                      <w:lang w:val="en-US" w:eastAsia="zh-CN"/>
                    </w:rPr>
                    <w:t>245mm</w:t>
                  </w:r>
                  <w:r>
                    <w:rPr>
                      <w:rFonts w:hint="default" w:ascii="Times New Roman" w:hAnsi="Times New Roman" w:eastAsia="宋体" w:cs="Times New Roman"/>
                      <w:color w:val="auto"/>
                      <w:kern w:val="8"/>
                      <w:sz w:val="21"/>
                      <w:szCs w:val="21"/>
                      <w:highlight w:val="none"/>
                      <w:lang w:val="en-US" w:eastAsia="zh-CN"/>
                    </w:rPr>
                    <w:t>×</w:t>
                  </w:r>
                  <w:r>
                    <w:rPr>
                      <w:rFonts w:hint="eastAsia" w:ascii="Times New Roman" w:hAnsi="Times New Roman" w:eastAsia="宋体" w:cs="Times New Roman"/>
                      <w:color w:val="auto"/>
                      <w:kern w:val="8"/>
                      <w:sz w:val="21"/>
                      <w:szCs w:val="21"/>
                      <w:highlight w:val="none"/>
                      <w:lang w:val="en-US" w:eastAsia="zh-CN"/>
                    </w:rPr>
                    <w:t>460mm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触摸控制板</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万套/a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kern w:val="8"/>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耐高温线</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万套/a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kern w:val="8"/>
                      <w:sz w:val="21"/>
                      <w:szCs w:val="21"/>
                      <w:highlight w:val="none"/>
                      <w:lang w:val="en-US" w:eastAsia="zh-CN"/>
                    </w:rPr>
                    <w:t>外购，2.5平方毫米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石墨烯电发热体</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万套/a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eastAsia="宋体" w:cs="Times New Roman"/>
                      <w:color w:val="auto"/>
                      <w:kern w:val="8"/>
                      <w:sz w:val="21"/>
                      <w:szCs w:val="21"/>
                      <w:highlight w:val="none"/>
                      <w:lang w:val="en-US" w:eastAsia="zh-CN"/>
                    </w:rPr>
                  </w:pPr>
                  <w:r>
                    <w:rPr>
                      <w:rFonts w:hint="eastAsia" w:cs="Times New Roman"/>
                      <w:color w:val="auto"/>
                      <w:kern w:val="8"/>
                      <w:sz w:val="21"/>
                      <w:szCs w:val="21"/>
                      <w:highlight w:val="none"/>
                      <w:lang w:val="en-US" w:eastAsia="zh-CN"/>
                    </w:rPr>
                    <w:t>石墨烯电发热体生产线生产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零件（螺丝等）</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万套/a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s="Times New Roman"/>
                      <w:color w:val="auto"/>
                      <w:kern w:val="8"/>
                      <w:sz w:val="21"/>
                      <w:szCs w:val="21"/>
                      <w:highlight w:val="none"/>
                      <w:lang w:val="en-US" w:eastAsia="zh-CN"/>
                    </w:rPr>
                  </w:pPr>
                  <w:r>
                    <w:rPr>
                      <w:rFonts w:hint="eastAsia" w:eastAsia="宋体" w:cs="Times New Roman"/>
                      <w:color w:val="auto"/>
                      <w:kern w:val="8"/>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活性炭</w:t>
                  </w:r>
                </w:p>
              </w:tc>
              <w:tc>
                <w:tcPr>
                  <w:tcW w:w="136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t/2a</w:t>
                  </w:r>
                </w:p>
              </w:tc>
              <w:tc>
                <w:tcPr>
                  <w:tcW w:w="118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2535"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eastAsia="宋体" w:cs="Times New Roman"/>
                      <w:color w:val="auto"/>
                      <w:kern w:val="8"/>
                      <w:sz w:val="21"/>
                      <w:szCs w:val="21"/>
                      <w:highlight w:val="none"/>
                      <w:lang w:val="en-US" w:eastAsia="zh-CN"/>
                    </w:rPr>
                  </w:pPr>
                  <w:r>
                    <w:rPr>
                      <w:rFonts w:hint="eastAsia" w:cs="Times New Roman"/>
                      <w:color w:val="auto"/>
                      <w:kern w:val="8"/>
                      <w:sz w:val="21"/>
                      <w:szCs w:val="21"/>
                      <w:highlight w:val="none"/>
                      <w:lang w:val="en-US" w:eastAsia="zh-CN"/>
                    </w:rPr>
                    <w:t>蜂窝活性炭，用于活性炭吸附装置更换活性炭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0" w:hRule="atLeast"/>
                <w:jc w:val="center"/>
              </w:trPr>
              <w:tc>
                <w:tcPr>
                  <w:tcW w:w="707" w:type="dxa"/>
                  <w:vAlign w:val="center"/>
                </w:tcPr>
                <w:p>
                  <w:pPr>
                    <w:keepNext w:val="0"/>
                    <w:keepLines w:val="0"/>
                    <w:pageBreakBefore w:val="0"/>
                    <w:widowControl w:val="0"/>
                    <w:numPr>
                      <w:ilvl w:val="0"/>
                      <w:numId w:val="14"/>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highlight w:val="none"/>
                    </w:rPr>
                  </w:pPr>
                </w:p>
              </w:tc>
              <w:tc>
                <w:tcPr>
                  <w:tcW w:w="2485"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电</w:t>
                  </w:r>
                </w:p>
              </w:tc>
              <w:tc>
                <w:tcPr>
                  <w:tcW w:w="1365"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万kWh/a</w:t>
                  </w:r>
                </w:p>
              </w:tc>
              <w:tc>
                <w:tcPr>
                  <w:tcW w:w="1185" w:type="dxa"/>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bCs/>
                      <w:color w:val="auto"/>
                      <w:spacing w:val="0"/>
                      <w:sz w:val="21"/>
                      <w:szCs w:val="21"/>
                      <w:highlight w:val="none"/>
                      <w:lang w:val="en-US" w:eastAsia="zh-CN"/>
                    </w:rPr>
                  </w:pPr>
                  <w:r>
                    <w:rPr>
                      <w:rFonts w:hint="eastAsia" w:cs="Times New Roman"/>
                      <w:bCs/>
                      <w:color w:val="auto"/>
                      <w:spacing w:val="0"/>
                      <w:sz w:val="21"/>
                      <w:szCs w:val="21"/>
                      <w:highlight w:val="none"/>
                      <w:lang w:val="en-US" w:eastAsia="zh-CN"/>
                    </w:rPr>
                    <w:t>10</w:t>
                  </w:r>
                </w:p>
              </w:tc>
              <w:tc>
                <w:tcPr>
                  <w:tcW w:w="25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24"/>
                      <w:sz w:val="21"/>
                      <w:szCs w:val="21"/>
                      <w:highlight w:val="none"/>
                      <w:lang w:val="en-US" w:eastAsia="zh-CN"/>
                    </w:rPr>
                  </w:pPr>
                  <w:r>
                    <w:rPr>
                      <w:rFonts w:hint="eastAsia" w:cs="Times New Roman"/>
                      <w:color w:val="auto"/>
                      <w:kern w:val="24"/>
                      <w:sz w:val="21"/>
                      <w:szCs w:val="21"/>
                      <w:highlight w:val="none"/>
                      <w:lang w:val="en-US" w:eastAsia="zh-CN"/>
                    </w:rPr>
                    <w:t>取自本地电网</w:t>
                  </w:r>
                </w:p>
              </w:tc>
            </w:tr>
          </w:tbl>
          <w:p>
            <w:pPr>
              <w:bidi w:val="0"/>
              <w:rPr>
                <w:rFonts w:hint="eastAsia"/>
                <w:color w:val="auto"/>
                <w:sz w:val="24"/>
                <w:szCs w:val="24"/>
                <w:lang w:val="en-US" w:eastAsia="zh-CN"/>
              </w:rPr>
            </w:pPr>
            <w:r>
              <w:rPr>
                <w:rFonts w:hint="eastAsia"/>
                <w:color w:val="auto"/>
                <w:sz w:val="24"/>
                <w:szCs w:val="24"/>
                <w:lang w:val="en-US" w:eastAsia="zh-CN"/>
              </w:rPr>
              <w:t>导电浆料：导电浆料是导电剂在分散剂中均匀分散而成的浆料，广泛应用于电子元器件的封装、电极和电子元器件的制备。导电浆料大致可以分为金属导电浆料（如银、铜、镍）、金属氧化物导电膏（如氧化锡、氧化铁、氧化锌、二氧化钛）、碳导电浆料（如炭黑、石墨、碳纳米管、石墨烯）、复合导电剂（如复合粉、复合纤维），本项目所用导电浆料为碳导电浆料，主要成份为：水性有机硅树脂25%、水性丙烯酸树脂40%、丙二醇10%、石墨烯5%、石墨10%、碳黑5%、异氰酸酯5%，碳导电浆料具有良好的导电性、稳定性，可长时间保持稳定的导电性能，同时具有良好的耐热性和耐腐蚀性，可在高温和腐蚀环境下使用。</w:t>
            </w:r>
          </w:p>
          <w:p>
            <w:pPr>
              <w:bidi w:val="0"/>
              <w:rPr>
                <w:rFonts w:hint="eastAsia"/>
                <w:color w:val="auto"/>
                <w:lang w:val="en-US" w:eastAsia="zh-CN"/>
              </w:rPr>
            </w:pPr>
            <w:r>
              <w:rPr>
                <w:rFonts w:hint="default"/>
                <w:color w:val="auto"/>
                <w:lang w:val="en-US" w:eastAsia="zh-CN"/>
              </w:rPr>
              <w:t>PET膜</w:t>
            </w:r>
            <w:r>
              <w:rPr>
                <w:rFonts w:hint="eastAsia"/>
                <w:color w:val="auto"/>
                <w:lang w:val="en-US" w:eastAsia="zh-CN"/>
              </w:rPr>
              <w:t>：PET膜又名耐高温聚酯薄膜。它具有优异的物理性能、化学性能及尺寸稳定性、透明性、可回收性，可广泛的应用于磁记录、感光材料、电子、电气绝缘、工业用膜、包装装饰、屏幕保护、光学级镜面表面保护等领域。</w:t>
            </w:r>
          </w:p>
          <w:p>
            <w:pPr>
              <w:bidi w:val="0"/>
              <w:rPr>
                <w:rFonts w:hint="default"/>
                <w:color w:val="auto"/>
                <w:lang w:val="en-US" w:eastAsia="zh-CN"/>
              </w:rPr>
            </w:pPr>
            <w:r>
              <w:rPr>
                <w:rFonts w:hint="eastAsia"/>
                <w:color w:val="auto"/>
                <w:lang w:val="en-US" w:eastAsia="zh-CN"/>
              </w:rPr>
              <w:t>PVC膜：主要成分为聚氯乙烯，是氯乙烯单体（VCM）在</w:t>
            </w:r>
            <w:r>
              <w:rPr>
                <w:rFonts w:hint="eastAsia"/>
                <w:color w:val="auto"/>
                <w:lang w:val="en-US" w:eastAsia="zh-CN"/>
              </w:rPr>
              <w:fldChar w:fldCharType="begin"/>
            </w:r>
            <w:r>
              <w:rPr>
                <w:rFonts w:hint="eastAsia"/>
                <w:color w:val="auto"/>
                <w:lang w:val="en-US" w:eastAsia="zh-CN"/>
              </w:rPr>
              <w:instrText xml:space="preserve"> HYPERLINK "https://baike.baidu.com/item/%E8%BF%87%E6%B0%A7%E5%8C%96%E7%89%A9/2598693?fromModule=lemma_inlink" \t "https://baike.baidu.com/item/%E8%81%9A%E6%B0%AF%E4%B9%99%E7%83%AF/_blank" </w:instrText>
            </w:r>
            <w:r>
              <w:rPr>
                <w:rFonts w:hint="eastAsia"/>
                <w:color w:val="auto"/>
                <w:lang w:val="en-US" w:eastAsia="zh-CN"/>
              </w:rPr>
              <w:fldChar w:fldCharType="separate"/>
            </w:r>
            <w:r>
              <w:rPr>
                <w:rFonts w:hint="eastAsia"/>
                <w:color w:val="auto"/>
                <w:lang w:val="en-US" w:eastAsia="zh-CN"/>
              </w:rPr>
              <w:t>过氧化物</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"https://baike.baidu.com/item/%E5%81%B6%E6%B0%AE%E5%8C%96%E5%90%88%E7%89%A9/1766927?fromModule=lemma_inlink" \t "https://baike.baidu.com/item/%E8%81%9A%E6%B0%AF%E4%B9%99%E7%83%AF/_blank" </w:instrText>
            </w:r>
            <w:r>
              <w:rPr>
                <w:rFonts w:hint="eastAsia"/>
                <w:color w:val="auto"/>
                <w:lang w:val="en-US" w:eastAsia="zh-CN"/>
              </w:rPr>
              <w:fldChar w:fldCharType="separate"/>
            </w:r>
            <w:r>
              <w:rPr>
                <w:rFonts w:hint="eastAsia"/>
                <w:color w:val="auto"/>
                <w:lang w:val="en-US" w:eastAsia="zh-CN"/>
              </w:rPr>
              <w:t>偶氮化合物</w:t>
            </w:r>
            <w:r>
              <w:rPr>
                <w:rFonts w:hint="eastAsia"/>
                <w:color w:val="auto"/>
                <w:lang w:val="en-US" w:eastAsia="zh-CN"/>
              </w:rPr>
              <w:fldChar w:fldCharType="end"/>
            </w:r>
            <w:r>
              <w:rPr>
                <w:rFonts w:hint="eastAsia"/>
                <w:color w:val="auto"/>
                <w:lang w:val="en-US" w:eastAsia="zh-CN"/>
              </w:rPr>
              <w:t>等</w:t>
            </w:r>
            <w:r>
              <w:rPr>
                <w:rFonts w:hint="eastAsia"/>
                <w:color w:val="auto"/>
                <w:lang w:val="en-US" w:eastAsia="zh-CN"/>
              </w:rPr>
              <w:fldChar w:fldCharType="begin"/>
            </w:r>
            <w:r>
              <w:rPr>
                <w:rFonts w:hint="eastAsia"/>
                <w:color w:val="auto"/>
                <w:lang w:val="en-US" w:eastAsia="zh-CN"/>
              </w:rPr>
              <w:instrText xml:space="preserve"> HYPERLINK "https://baike.baidu.com/item/%E5%BC%95%E5%8F%91%E5%89%82/8427937?fromModule=lemma_inlink" \t "https://baike.baidu.com/item/%E8%81%9A%E6%B0%AF%E4%B9%99%E7%83%AF/_blank" </w:instrText>
            </w:r>
            <w:r>
              <w:rPr>
                <w:rFonts w:hint="eastAsia"/>
                <w:color w:val="auto"/>
                <w:lang w:val="en-US" w:eastAsia="zh-CN"/>
              </w:rPr>
              <w:fldChar w:fldCharType="separate"/>
            </w:r>
            <w:r>
              <w:rPr>
                <w:rFonts w:hint="eastAsia"/>
                <w:color w:val="auto"/>
                <w:lang w:val="en-US" w:eastAsia="zh-CN"/>
              </w:rPr>
              <w:t>引发剂</w:t>
            </w:r>
            <w:r>
              <w:rPr>
                <w:rFonts w:hint="eastAsia"/>
                <w:color w:val="auto"/>
                <w:lang w:val="en-US" w:eastAsia="zh-CN"/>
              </w:rPr>
              <w:fldChar w:fldCharType="end"/>
            </w:r>
            <w:r>
              <w:rPr>
                <w:rFonts w:hint="eastAsia"/>
                <w:color w:val="auto"/>
                <w:lang w:val="en-US" w:eastAsia="zh-CN"/>
              </w:rPr>
              <w:t>或在光、热作用下按自由基聚合反应机理聚合而成的聚合物，170℃左右开始分解，对光和热的稳定性差，在100℃以上或经长时间阳光曝晒，就会分解而产生氯化氢。</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表</w:t>
            </w:r>
            <w:r>
              <w:rPr>
                <w:rFonts w:hint="eastAsia"/>
                <w:b/>
                <w:bCs/>
                <w:color w:val="auto"/>
                <w:sz w:val="21"/>
                <w:szCs w:val="21"/>
                <w:highlight w:val="none"/>
                <w:lang w:val="en-US" w:eastAsia="zh-CN"/>
              </w:rPr>
              <w:t>16  本项目建成后全厂原辅材料及能源消耗变化情况</w:t>
            </w:r>
            <w:r>
              <w:rPr>
                <w:rFonts w:hint="default"/>
                <w:b/>
                <w:bCs/>
                <w:color w:val="auto"/>
                <w:sz w:val="21"/>
                <w:szCs w:val="21"/>
                <w:highlight w:val="none"/>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9"/>
              <w:gridCol w:w="638"/>
              <w:gridCol w:w="862"/>
              <w:gridCol w:w="1133"/>
              <w:gridCol w:w="904"/>
              <w:gridCol w:w="1121"/>
              <w:gridCol w:w="960"/>
              <w:gridCol w:w="1035"/>
              <w:gridCol w:w="10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9" w:hRule="atLeast"/>
                <w:jc w:val="center"/>
              </w:trPr>
              <w:tc>
                <w:tcPr>
                  <w:tcW w:w="58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序号</w:t>
                  </w:r>
                </w:p>
              </w:tc>
              <w:tc>
                <w:tcPr>
                  <w:tcW w:w="150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名称</w:t>
                  </w:r>
                </w:p>
              </w:tc>
              <w:tc>
                <w:tcPr>
                  <w:tcW w:w="113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单位</w:t>
                  </w:r>
                </w:p>
              </w:tc>
              <w:tc>
                <w:tcPr>
                  <w:tcW w:w="90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现有工程</w:t>
                  </w:r>
                </w:p>
              </w:tc>
              <w:tc>
                <w:tcPr>
                  <w:tcW w:w="112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本项目完成后全厂</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变化量</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66"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石英管</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万根</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25</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26</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外购，长度50cm，本项目建成后不再使用云母板生产石墨烯电发热体，均采用石英管进行生产，石英管用量增加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40"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云母板</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万片</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5</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0</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本项目建成后不再使用云母板生产石墨烯电发热体，均采用石英管进行生产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硅胶套</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万个</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30</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26.25</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-3.75</w:t>
                  </w:r>
                </w:p>
              </w:tc>
              <w:tc>
                <w:tcPr>
                  <w:tcW w:w="1035"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color w:val="auto"/>
                      <w:kern w:val="0"/>
                      <w:sz w:val="21"/>
                      <w:szCs w:val="21"/>
                      <w:highlight w:val="none"/>
                      <w:lang w:val="en-US" w:eastAsia="zh-CN"/>
                    </w:rPr>
                    <w:t>外购，厚度60mm</w:t>
                  </w:r>
                </w:p>
              </w:tc>
              <w:tc>
                <w:tcPr>
                  <w:tcW w:w="1035" w:type="dxa"/>
                  <w:vMerge w:val="restart"/>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eastAsia" w:cs="Times New Roman"/>
                      <w:color w:val="auto"/>
                      <w:kern w:val="0"/>
                      <w:sz w:val="21"/>
                      <w:szCs w:val="21"/>
                      <w:highlight w:val="none"/>
                      <w:lang w:val="en-US" w:eastAsia="zh-CN"/>
                    </w:rPr>
                  </w:pPr>
                  <w:r>
                    <w:rPr>
                      <w:rFonts w:hint="eastAsia" w:cs="Times New Roman"/>
                      <w:bCs/>
                      <w:color w:val="auto"/>
                      <w:spacing w:val="0"/>
                      <w:kern w:val="2"/>
                      <w:sz w:val="21"/>
                      <w:szCs w:val="21"/>
                      <w:highlight w:val="none"/>
                      <w:lang w:val="en-US" w:eastAsia="zh-CN" w:bidi="ar-SA"/>
                    </w:rPr>
                    <w:t>石墨烯电发热体产能减少10000套/a，用量相应减少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尼龙座</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万套</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8</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7</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1035"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color w:val="auto"/>
                      <w:kern w:val="0"/>
                      <w:sz w:val="21"/>
                      <w:szCs w:val="21"/>
                      <w:highlight w:val="none"/>
                      <w:lang w:val="en-US" w:eastAsia="zh-CN"/>
                    </w:rPr>
                    <w:t>外购</w:t>
                  </w:r>
                </w:p>
              </w:tc>
              <w:tc>
                <w:tcPr>
                  <w:tcW w:w="1035" w:type="dxa"/>
                  <w:vMerge w:val="continue"/>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eastAsia"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电极银浆</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kg/a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50</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44</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w:t>
                  </w:r>
                </w:p>
              </w:tc>
              <w:tc>
                <w:tcPr>
                  <w:tcW w:w="1035"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color w:val="auto"/>
                      <w:kern w:val="0"/>
                      <w:sz w:val="21"/>
                      <w:szCs w:val="21"/>
                      <w:highlight w:val="none"/>
                      <w:lang w:val="en-US" w:eastAsia="zh-CN"/>
                    </w:rPr>
                    <w:t>外购，1kg/</w:t>
                  </w:r>
                  <w:r>
                    <w:rPr>
                      <w:rFonts w:hint="eastAsia"/>
                      <w:color w:val="auto"/>
                      <w:sz w:val="21"/>
                      <w:szCs w:val="21"/>
                    </w:rPr>
                    <w:t>罐</w:t>
                  </w:r>
                </w:p>
              </w:tc>
              <w:tc>
                <w:tcPr>
                  <w:tcW w:w="1035" w:type="dxa"/>
                  <w:vMerge w:val="continue"/>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eastAsia"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2"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镀膜液</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kg/a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100</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87.5</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-12.5</w:t>
                  </w:r>
                </w:p>
              </w:tc>
              <w:tc>
                <w:tcPr>
                  <w:tcW w:w="10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外购，25kg/桶</w:t>
                  </w:r>
                </w:p>
              </w:tc>
              <w:tc>
                <w:tcPr>
                  <w:tcW w:w="10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cs="Times New Roman"/>
                      <w:color w:val="auto"/>
                      <w:kern w:val="24"/>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2"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rPr>
                    <w:t>石墨烯</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rPr>
                    <w:t>kg</w:t>
                  </w:r>
                  <w:r>
                    <w:rPr>
                      <w:rFonts w:hint="eastAsia"/>
                      <w:color w:val="auto"/>
                      <w:highlight w:val="none"/>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rPr>
                    <w:t>100</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highlight w:val="none"/>
                      <w:lang w:val="en-US" w:eastAsia="zh-CN"/>
                    </w:rPr>
                    <w:t>103.5</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+3.5</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外购，生产电发热体用量减少12.5kg/a，生产石墨烯电发热膜用量为16kg/a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1"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塑料薄膜</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卷</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rPr>
                    <w:t>3</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本项目建成后不再使用云母板生产石墨烯电发热体，不再消耗塑料薄膜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1"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rPr>
                  </w:pPr>
                  <w:r>
                    <w:rPr>
                      <w:rFonts w:hint="eastAsia"/>
                      <w:color w:val="auto"/>
                    </w:rPr>
                    <w:t>零件（螺丝等）</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rPr>
                  </w:pPr>
                  <w:r>
                    <w:rPr>
                      <w:rFonts w:hint="eastAsia"/>
                      <w:color w:val="auto"/>
                      <w:lang w:val="en-US" w:eastAsia="zh-CN"/>
                    </w:rPr>
                    <w:t>万套/a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rPr>
                  </w:pPr>
                  <w:r>
                    <w:rPr>
                      <w:rFonts w:hint="eastAsia"/>
                      <w:color w:val="auto"/>
                      <w:lang w:val="en-US" w:eastAsia="zh-CN"/>
                    </w:rPr>
                    <w:t>8</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13</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ascii="Times New Roman" w:hAnsi="Times New Roman" w:eastAsia="宋体" w:cs="Times New Roman"/>
                      <w:color w:val="auto"/>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机箱外壳</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万台/a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触摸控制板</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万套/a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耐高温线</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万套/a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5</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PET膜</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万m/a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none"/>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12</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PVC膜</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万m/a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8</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restart"/>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导电浆料</w:t>
                  </w: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水性有机硅树脂</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80</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80</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水性丙烯酸树脂</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128</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128</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丙二醇</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32</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32</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石墨烯</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16</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16</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石墨</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32</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32</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碳黑</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16</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16</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4"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638" w:type="dxa"/>
                  <w:vMerge w:val="continue"/>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p>
              </w:tc>
              <w:tc>
                <w:tcPr>
                  <w:tcW w:w="862" w:type="dxa"/>
                  <w:vAlign w:val="center"/>
                </w:tcPr>
                <w:p>
                  <w:pPr>
                    <w:pStyle w:val="36"/>
                    <w:keepNext w:val="0"/>
                    <w:keepLines w:val="0"/>
                    <w:pageBreakBefore w:val="0"/>
                    <w:kinsoku/>
                    <w:wordWrap/>
                    <w:overflowPunct/>
                    <w:topLinePunct w:val="0"/>
                    <w:bidi w:val="0"/>
                    <w:spacing w:line="240" w:lineRule="auto"/>
                    <w:ind w:firstLine="0" w:firstLineChars="0"/>
                    <w:jc w:val="center"/>
                    <w:rPr>
                      <w:rFonts w:hint="eastAsia"/>
                      <w:color w:val="auto"/>
                      <w:highlight w:val="yellow"/>
                      <w:lang w:val="en-US" w:eastAsia="zh-CN"/>
                    </w:rPr>
                  </w:pPr>
                  <w:r>
                    <w:rPr>
                      <w:rFonts w:hint="eastAsia" w:ascii="Times New Roman" w:hAnsi="Times New Roman" w:eastAsia="宋体" w:cs="Times New Roman"/>
                      <w:color w:val="auto"/>
                      <w:sz w:val="21"/>
                      <w:szCs w:val="21"/>
                      <w:highlight w:val="none"/>
                      <w:lang w:val="en-US" w:eastAsia="zh-CN"/>
                    </w:rPr>
                    <w:t>异氰酸酯固化剂</w:t>
                  </w:r>
                </w:p>
              </w:tc>
              <w:tc>
                <w:tcPr>
                  <w:tcW w:w="1133"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kg/a</w:t>
                  </w:r>
                </w:p>
              </w:tc>
              <w:tc>
                <w:tcPr>
                  <w:tcW w:w="904"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cs="Times New Roman"/>
                      <w:bCs/>
                      <w:snapToGrid w:val="0"/>
                      <w:color w:val="auto"/>
                      <w:spacing w:val="0"/>
                      <w:kern w:val="0"/>
                      <w:sz w:val="21"/>
                      <w:szCs w:val="21"/>
                      <w:highlight w:val="none"/>
                      <w:lang w:val="en-US" w:eastAsia="zh-CN" w:bidi="ar-SA"/>
                    </w:rPr>
                    <w:t>0</w:t>
                  </w:r>
                </w:p>
              </w:tc>
              <w:tc>
                <w:tcPr>
                  <w:tcW w:w="1121"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bCs/>
                      <w:snapToGrid w:val="0"/>
                      <w:color w:val="auto"/>
                      <w:spacing w:val="0"/>
                      <w:kern w:val="0"/>
                      <w:sz w:val="21"/>
                      <w:szCs w:val="21"/>
                      <w:highlight w:val="yellow"/>
                      <w:lang w:val="en-US" w:eastAsia="zh-CN" w:bidi="ar-SA"/>
                    </w:rPr>
                  </w:pPr>
                  <w:r>
                    <w:rPr>
                      <w:rFonts w:hint="eastAsia" w:ascii="Times New Roman" w:hAnsi="Times New Roman" w:eastAsia="宋体" w:cs="Times New Roman"/>
                      <w:color w:val="auto"/>
                      <w:sz w:val="21"/>
                      <w:szCs w:val="21"/>
                      <w:highlight w:val="none"/>
                      <w:lang w:val="en-US" w:eastAsia="zh-CN"/>
                    </w:rPr>
                    <w:t>16</w:t>
                  </w:r>
                </w:p>
              </w:tc>
              <w:tc>
                <w:tcPr>
                  <w:tcW w:w="960" w:type="dxa"/>
                  <w:vAlign w:val="center"/>
                </w:tcPr>
                <w:p>
                  <w:pPr>
                    <w:pStyle w:val="36"/>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color w:val="auto"/>
                      <w:kern w:val="0"/>
                      <w:sz w:val="21"/>
                      <w:szCs w:val="21"/>
                      <w:highlight w:val="yellow"/>
                      <w:lang w:val="en-US" w:eastAsia="zh-CN"/>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16</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spacing w:val="0"/>
                      <w:kern w:val="2"/>
                      <w:sz w:val="21"/>
                      <w:szCs w:val="21"/>
                      <w:highlight w:val="yellow"/>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铜带</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万m/a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0</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8</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olor w:val="auto"/>
                    </w:rPr>
                    <w:t>氢氧化钠</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rPr>
                    <w:t>袋</w:t>
                  </w:r>
                  <w:r>
                    <w:rPr>
                      <w:rFonts w:hint="eastAsia"/>
                      <w:color w:val="auto"/>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rPr>
                    <w:t>4</w:t>
                  </w:r>
                </w:p>
              </w:tc>
              <w:tc>
                <w:tcPr>
                  <w:tcW w:w="1121"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olor w:val="auto"/>
                    </w:rPr>
                    <w:t>4</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0</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eastAsia"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bidi="ar-SA"/>
                    </w:rPr>
                    <w:t>外购，25kg/袋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olor w:val="auto"/>
                    </w:rPr>
                    <w:t>润滑油</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kg/a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olor w:val="auto"/>
                      <w:lang w:val="en-US" w:eastAsia="zh-CN"/>
                    </w:rPr>
                    <w:t>10</w:t>
                  </w:r>
                </w:p>
              </w:tc>
              <w:tc>
                <w:tcPr>
                  <w:tcW w:w="1121"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yellow"/>
                      <w:lang w:val="en-US" w:eastAsia="zh-CN" w:bidi="ar-SA"/>
                    </w:rPr>
                  </w:pPr>
                  <w:r>
                    <w:rPr>
                      <w:rFonts w:hint="eastAsia" w:cs="Times New Roman"/>
                      <w:bCs/>
                      <w:color w:val="auto"/>
                      <w:spacing w:val="0"/>
                      <w:kern w:val="2"/>
                      <w:sz w:val="21"/>
                      <w:szCs w:val="21"/>
                      <w:highlight w:val="none"/>
                      <w:lang w:val="en-US" w:eastAsia="zh-CN" w:bidi="ar-SA"/>
                    </w:rPr>
                    <w:t>20</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rPr>
                    <w:t>+10</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外购，5kg/桶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eastAsia="宋体"/>
                      <w:color w:val="auto"/>
                      <w:lang w:val="en-US" w:eastAsia="zh-CN"/>
                    </w:rPr>
                  </w:pPr>
                  <w:r>
                    <w:rPr>
                      <w:rFonts w:hint="eastAsia"/>
                      <w:color w:val="auto"/>
                      <w:lang w:val="en-US" w:eastAsia="zh-CN"/>
                    </w:rPr>
                    <w:t>活性炭</w:t>
                  </w:r>
                </w:p>
              </w:tc>
              <w:tc>
                <w:tcPr>
                  <w:tcW w:w="1133"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lang w:val="en-US" w:eastAsia="zh-CN"/>
                    </w:rPr>
                  </w:pPr>
                  <w:r>
                    <w:rPr>
                      <w:rFonts w:hint="eastAsia" w:cs="Times New Roman"/>
                      <w:color w:val="auto"/>
                      <w:sz w:val="21"/>
                      <w:szCs w:val="21"/>
                      <w:highlight w:val="none"/>
                      <w:lang w:val="en-US" w:eastAsia="zh-CN"/>
                    </w:rPr>
                    <w:t>t/2a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color w:val="auto"/>
                      <w:lang w:val="en-US" w:eastAsia="zh-CN"/>
                    </w:rPr>
                  </w:pPr>
                  <w:r>
                    <w:rPr>
                      <w:rFonts w:hint="eastAsia"/>
                      <w:color w:val="auto"/>
                      <w:lang w:val="en-US" w:eastAsia="zh-CN"/>
                    </w:rPr>
                    <w:t>0.2</w:t>
                  </w:r>
                </w:p>
              </w:tc>
              <w:tc>
                <w:tcPr>
                  <w:tcW w:w="1121"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1.5</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207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spacing w:val="0"/>
                      <w:kern w:val="2"/>
                      <w:sz w:val="21"/>
                      <w:szCs w:val="21"/>
                      <w:highlight w:val="no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水</w:t>
                  </w:r>
                </w:p>
              </w:tc>
              <w:tc>
                <w:tcPr>
                  <w:tcW w:w="1133"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eastAsia"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sz w:val="21"/>
                      <w:szCs w:val="21"/>
                      <w:highlight w:val="none"/>
                      <w:lang w:val="en-US" w:eastAsia="zh-CN"/>
                    </w:rPr>
                    <w:t>m</w:t>
                  </w:r>
                  <w:r>
                    <w:rPr>
                      <w:rFonts w:hint="eastAsia" w:cs="Times New Roman"/>
                      <w:bCs/>
                      <w:color w:val="auto"/>
                      <w:spacing w:val="0"/>
                      <w:sz w:val="21"/>
                      <w:szCs w:val="21"/>
                      <w:highlight w:val="none"/>
                      <w:vertAlign w:val="superscript"/>
                      <w:lang w:val="en-US" w:eastAsia="zh-CN"/>
                    </w:rPr>
                    <w:t>3</w:t>
                  </w:r>
                  <w:r>
                    <w:rPr>
                      <w:rFonts w:hint="default" w:ascii="Times New Roman" w:hAnsi="Times New Roman" w:eastAsia="宋体" w:cs="Times New Roman"/>
                      <w:bCs/>
                      <w:color w:val="auto"/>
                      <w:spacing w:val="0"/>
                      <w:sz w:val="21"/>
                      <w:szCs w:val="21"/>
                      <w:highlight w:val="none"/>
                      <w:lang w:val="en-US" w:eastAsia="zh-CN"/>
                    </w:rPr>
                    <w:t>/a</w:t>
                  </w:r>
                </w:p>
              </w:tc>
              <w:tc>
                <w:tcPr>
                  <w:tcW w:w="904" w:type="dxa"/>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default" w:eastAsia="宋体"/>
                      <w:color w:val="auto"/>
                      <w:lang w:val="en-US" w:eastAsia="zh-CN"/>
                    </w:rPr>
                  </w:pPr>
                  <w:r>
                    <w:rPr>
                      <w:rFonts w:hint="eastAsia"/>
                      <w:color w:val="auto"/>
                      <w:lang w:val="en-US" w:eastAsia="zh-CN"/>
                    </w:rPr>
                    <w:t>231</w:t>
                  </w:r>
                </w:p>
              </w:tc>
              <w:tc>
                <w:tcPr>
                  <w:tcW w:w="1121"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231</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取自供水管网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07" w:hRule="atLeast"/>
                <w:jc w:val="center"/>
              </w:trPr>
              <w:tc>
                <w:tcPr>
                  <w:tcW w:w="589" w:type="dxa"/>
                  <w:vAlign w:val="center"/>
                </w:tcPr>
                <w:p>
                  <w:pPr>
                    <w:keepNext w:val="0"/>
                    <w:keepLines w:val="0"/>
                    <w:pageBreakBefore w:val="0"/>
                    <w:widowControl w:val="0"/>
                    <w:numPr>
                      <w:ilvl w:val="0"/>
                      <w:numId w:val="15"/>
                    </w:numPr>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rPr>
                  </w:pPr>
                </w:p>
              </w:tc>
              <w:tc>
                <w:tcPr>
                  <w:tcW w:w="1500" w:type="dxa"/>
                  <w:gridSpan w:val="2"/>
                  <w:vAlign w:val="center"/>
                </w:tcPr>
                <w:p>
                  <w:pPr>
                    <w:pStyle w:val="36"/>
                    <w:keepNext w:val="0"/>
                    <w:keepLines w:val="0"/>
                    <w:pageBreakBefore w:val="0"/>
                    <w:widowControl w:val="0"/>
                    <w:kinsoku/>
                    <w:wordWrap/>
                    <w:overflowPunct/>
                    <w:topLinePunct w:val="0"/>
                    <w:bidi w:val="0"/>
                    <w:spacing w:line="240" w:lineRule="auto"/>
                    <w:ind w:left="-24" w:leftChars="-10" w:right="-24" w:rightChars="-1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电</w:t>
                  </w:r>
                </w:p>
              </w:tc>
              <w:tc>
                <w:tcPr>
                  <w:tcW w:w="1133"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sz w:val="21"/>
                      <w:szCs w:val="21"/>
                      <w:highlight w:val="none"/>
                      <w:lang w:val="en-US" w:eastAsia="zh-CN"/>
                    </w:rPr>
                    <w:t>万kWh/a</w:t>
                  </w:r>
                </w:p>
              </w:tc>
              <w:tc>
                <w:tcPr>
                  <w:tcW w:w="904"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60</w:t>
                  </w:r>
                </w:p>
              </w:tc>
              <w:tc>
                <w:tcPr>
                  <w:tcW w:w="1121" w:type="dxa"/>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70</w:t>
                  </w:r>
                </w:p>
              </w:tc>
              <w:tc>
                <w:tcPr>
                  <w:tcW w:w="9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24" w:leftChars="-10" w:right="-24" w:rightChars="-1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2070" w:type="dxa"/>
                  <w:gridSpan w:val="2"/>
                  <w:vAlign w:val="center"/>
                </w:tcPr>
                <w:p>
                  <w:pPr>
                    <w:keepNext w:val="0"/>
                    <w:keepLines w:val="0"/>
                    <w:pageBreakBefore w:val="0"/>
                    <w:widowControl w:val="0"/>
                    <w:kinsoku/>
                    <w:wordWrap/>
                    <w:overflowPunct/>
                    <w:topLinePunct w:val="0"/>
                    <w:autoSpaceDE/>
                    <w:autoSpaceDN/>
                    <w:bidi w:val="0"/>
                    <w:spacing w:line="240" w:lineRule="auto"/>
                    <w:ind w:left="-24" w:leftChars="-10" w:right="-24" w:rightChars="-10" w:firstLine="0" w:firstLineChars="0"/>
                    <w:jc w:val="center"/>
                    <w:textAlignment w:val="auto"/>
                    <w:outlineLvl w:val="9"/>
                    <w:rPr>
                      <w:rFonts w:hint="default" w:ascii="Times New Roman" w:hAnsi="Times New Roman" w:eastAsia="宋体" w:cs="Times New Roman"/>
                      <w:color w:val="auto"/>
                      <w:kern w:val="24"/>
                      <w:sz w:val="21"/>
                      <w:szCs w:val="21"/>
                      <w:highlight w:val="none"/>
                      <w:lang w:val="en-US" w:eastAsia="zh-CN" w:bidi="ar-SA"/>
                    </w:rPr>
                  </w:pPr>
                  <w:r>
                    <w:rPr>
                      <w:rFonts w:hint="eastAsia" w:cs="Times New Roman"/>
                      <w:color w:val="auto"/>
                      <w:kern w:val="24"/>
                      <w:sz w:val="21"/>
                      <w:szCs w:val="21"/>
                      <w:highlight w:val="none"/>
                      <w:lang w:val="en-US" w:eastAsia="zh-CN"/>
                    </w:rPr>
                    <w:t>取自本地电网</w:t>
                  </w:r>
                </w:p>
              </w:tc>
            </w:tr>
          </w:tbl>
          <w:p>
            <w:pPr>
              <w:numPr>
                <w:ilvl w:val="0"/>
                <w:numId w:val="16"/>
              </w:numPr>
              <w:bidi w:val="0"/>
              <w:rPr>
                <w:rFonts w:hint="default"/>
                <w:color w:val="auto"/>
                <w:sz w:val="24"/>
                <w:szCs w:val="24"/>
                <w:highlight w:val="none"/>
              </w:rPr>
            </w:pPr>
            <w:r>
              <w:rPr>
                <w:rFonts w:hint="eastAsia"/>
                <w:color w:val="auto"/>
                <w:sz w:val="24"/>
                <w:szCs w:val="24"/>
                <w:highlight w:val="none"/>
                <w:lang w:val="en-US" w:eastAsia="zh-CN"/>
              </w:rPr>
              <w:t>本项目</w:t>
            </w:r>
            <w:r>
              <w:rPr>
                <w:rFonts w:hint="default"/>
                <w:color w:val="auto"/>
                <w:sz w:val="24"/>
                <w:szCs w:val="24"/>
                <w:highlight w:val="none"/>
              </w:rPr>
              <w:t>主要生产设备见下表。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21"/>
                <w:szCs w:val="21"/>
                <w:highlight w:val="none"/>
                <w:lang w:val="en-US" w:eastAsia="zh-CN"/>
              </w:rPr>
            </w:pPr>
            <w:r>
              <w:rPr>
                <w:rFonts w:hint="eastAsia"/>
                <w:b/>
                <w:bCs/>
                <w:color w:val="auto"/>
                <w:sz w:val="21"/>
                <w:szCs w:val="21"/>
                <w:highlight w:val="none"/>
                <w:lang w:val="en-US" w:eastAsia="zh-CN"/>
              </w:rPr>
              <w:t>表17  本项目主要生产设备一览表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97"/>
              <w:gridCol w:w="811"/>
              <w:gridCol w:w="1260"/>
              <w:gridCol w:w="1200"/>
              <w:gridCol w:w="1215"/>
              <w:gridCol w:w="885"/>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序号</w:t>
                  </w:r>
                </w:p>
              </w:tc>
              <w:tc>
                <w:tcPr>
                  <w:tcW w:w="79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eastAsia="zh-CN"/>
                    </w:rPr>
                    <w:t>主要</w:t>
                  </w:r>
                  <w:r>
                    <w:rPr>
                      <w:rFonts w:hint="eastAsia" w:ascii="Times New Roman" w:hAnsi="Times New Roman" w:cs="Times New Roman"/>
                      <w:bCs/>
                      <w:color w:val="auto"/>
                      <w:sz w:val="21"/>
                      <w:szCs w:val="21"/>
                      <w:highlight w:val="none"/>
                      <w:lang w:val="en-US" w:eastAsia="zh-CN"/>
                    </w:rPr>
                    <w:t>生产单元</w:t>
                  </w:r>
                </w:p>
              </w:tc>
              <w:tc>
                <w:tcPr>
                  <w:tcW w:w="81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主要工艺</w:t>
                  </w: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名称</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规格型号</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设备参数</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sz w:val="21"/>
                      <w:szCs w:val="21"/>
                      <w:highlight w:val="none"/>
                    </w:rPr>
                    <w:t>数量</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台/套</w:t>
                  </w:r>
                  <w:r>
                    <w:rPr>
                      <w:rFonts w:hint="eastAsia" w:ascii="Times New Roman" w:hAnsi="Times New Roman" w:cs="Times New Roman"/>
                      <w:bCs/>
                      <w:color w:val="auto"/>
                      <w:sz w:val="21"/>
                      <w:szCs w:val="21"/>
                      <w:highlight w:val="none"/>
                      <w:lang w:eastAsia="zh-CN"/>
                    </w:rPr>
                    <w:t>）</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主体工程</w:t>
                  </w:r>
                </w:p>
              </w:tc>
              <w:tc>
                <w:tcPr>
                  <w:tcW w:w="811"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石墨烯电发热膜生产线</w:t>
                  </w: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覆膜印刷机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sz w:val="21"/>
                      <w:szCs w:val="21"/>
                    </w:rPr>
                    <w:t>LP1700-R1</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功率：5kW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宋体" w:hAnsi="宋体" w:eastAsia="宋体" w:cs="宋体"/>
                      <w:color w:val="auto"/>
                      <w:sz w:val="21"/>
                      <w:szCs w:val="21"/>
                      <w:lang w:val="en-US" w:eastAsia="zh-CN"/>
                    </w:rPr>
                    <w:t>覆膜烘干机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LSN05</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功率：15kW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自动覆膜机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FM-C900300YCR</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功率：7kW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自动高周波塑胶熔接机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HS-100007A</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功率：10kW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半自动高周波塑胶熔接机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功率：8kW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研磨机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LSN05</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功率：18.5kW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exac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数显高速分散机</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FS-1100D</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功率：2.5kW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本项目新增，用于导电碳浆混合分散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811"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多功能检测台</w:t>
                  </w:r>
                </w:p>
              </w:tc>
              <w:tc>
                <w:tcPr>
                  <w:tcW w:w="120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功率：5kW</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依托现有，进行电气性能检测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39" w:type="dxa"/>
                  <w:tcBorders>
                    <w:tl2br w:val="nil"/>
                    <w:tr2bl w:val="nil"/>
                  </w:tcBorders>
                  <w:noWrap w:val="0"/>
                  <w:vAlign w:val="center"/>
                </w:tcPr>
                <w:p>
                  <w:pPr>
                    <w:pStyle w:val="40"/>
                    <w:keepNext w:val="0"/>
                    <w:keepLines w:val="0"/>
                    <w:pageBreakBefore w:val="0"/>
                    <w:widowControl w:val="0"/>
                    <w:numPr>
                      <w:ilvl w:val="0"/>
                      <w:numId w:val="17"/>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辅助工程</w:t>
                  </w:r>
                </w:p>
              </w:tc>
              <w:tc>
                <w:tcPr>
                  <w:tcW w:w="81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废气治理设施</w:t>
                  </w:r>
                </w:p>
              </w:tc>
              <w:tc>
                <w:tcPr>
                  <w:tcW w:w="126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两级活性炭吸附装置</w:t>
                  </w:r>
                </w:p>
              </w:tc>
              <w:tc>
                <w:tcPr>
                  <w:tcW w:w="241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yellow"/>
                      <w:lang w:val="en-US" w:eastAsia="zh-CN"/>
                    </w:rPr>
                  </w:pPr>
                  <w:r>
                    <w:rPr>
                      <w:rFonts w:hint="eastAsia" w:ascii="Times New Roman" w:hAnsi="Times New Roman" w:cs="Times New Roman"/>
                      <w:bCs/>
                      <w:color w:val="auto"/>
                      <w:sz w:val="21"/>
                      <w:szCs w:val="21"/>
                      <w:highlight w:val="none"/>
                      <w:lang w:val="en-US" w:eastAsia="zh-CN"/>
                    </w:rPr>
                    <w:t>风机风量：15000m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88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57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本项目新增</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auto"/>
                <w:sz w:val="21"/>
                <w:szCs w:val="21"/>
                <w:highlight w:val="none"/>
                <w:lang w:val="en-US" w:eastAsia="zh-CN"/>
              </w:rPr>
            </w:pPr>
            <w:r>
              <w:rPr>
                <w:rFonts w:hint="eastAsia" w:asci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18</w:t>
            </w:r>
            <w:r>
              <w:rPr>
                <w:rFonts w:hint="eastAsia" w:ascii="Times New Roman" w:eastAsia="宋体"/>
                <w:b/>
                <w:bCs/>
                <w:color w:val="auto"/>
                <w:sz w:val="21"/>
                <w:szCs w:val="21"/>
                <w:highlight w:val="none"/>
                <w:lang w:val="en-US" w:eastAsia="zh-CN"/>
              </w:rPr>
              <w:t xml:space="preserve">  </w:t>
            </w:r>
            <w:r>
              <w:rPr>
                <w:rFonts w:hint="eastAsia"/>
                <w:b/>
                <w:bCs/>
                <w:color w:val="auto"/>
                <w:sz w:val="21"/>
                <w:szCs w:val="21"/>
                <w:highlight w:val="none"/>
                <w:lang w:val="en-US" w:eastAsia="zh-CN"/>
              </w:rPr>
              <w:t>本项目建成后全厂</w:t>
            </w:r>
            <w:r>
              <w:rPr>
                <w:rFonts w:hint="eastAsia" w:ascii="Times New Roman" w:eastAsia="宋体"/>
                <w:b/>
                <w:bCs/>
                <w:color w:val="auto"/>
                <w:sz w:val="21"/>
                <w:szCs w:val="21"/>
                <w:highlight w:val="none"/>
                <w:lang w:val="en-US" w:eastAsia="zh-CN"/>
              </w:rPr>
              <w:t>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607"/>
              <w:gridCol w:w="1642"/>
              <w:gridCol w:w="1293"/>
              <w:gridCol w:w="1934"/>
              <w:gridCol w:w="1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83"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序号</w:t>
                  </w: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名称</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规格型号</w:t>
                  </w:r>
                </w:p>
              </w:tc>
              <w:tc>
                <w:tcPr>
                  <w:tcW w:w="1293"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现有工程</w:t>
                  </w:r>
                  <w:r>
                    <w:rPr>
                      <w:rFonts w:ascii="Times New Roman" w:hAnsi="Times New Roman" w:cs="Times New Roman"/>
                      <w:bCs/>
                      <w:color w:val="auto"/>
                      <w:sz w:val="21"/>
                      <w:szCs w:val="21"/>
                      <w:highlight w:val="none"/>
                    </w:rPr>
                    <w:t>数量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本项目完成后全厂</w:t>
                  </w:r>
                  <w:r>
                    <w:rPr>
                      <w:rFonts w:ascii="Times New Roman" w:hAnsi="Times New Roman" w:cs="Times New Roman"/>
                      <w:bCs/>
                      <w:color w:val="auto"/>
                      <w:sz w:val="21"/>
                      <w:szCs w:val="21"/>
                      <w:highlight w:val="none"/>
                    </w:rPr>
                    <w:t>数量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r>
                    <w:rPr>
                      <w:rFonts w:hint="eastAsia"/>
                      <w:color w:val="auto"/>
                      <w:sz w:val="21"/>
                      <w:szCs w:val="21"/>
                      <w:highlight w:val="none"/>
                      <w:lang w:eastAsia="zh-CN"/>
                    </w:rPr>
                    <w:t>）</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变化量</w:t>
                  </w:r>
                  <w:r>
                    <w:rPr>
                      <w:color w:val="auto"/>
                      <w:sz w:val="21"/>
                      <w:szCs w:val="21"/>
                      <w:highlight w:val="none"/>
                    </w:rPr>
                    <w:t>（台</w:t>
                  </w:r>
                  <w:r>
                    <w:rPr>
                      <w:rFonts w:hint="default" w:ascii="Times New Roman" w:hAnsi="Times New Roman" w:cs="Times New Roman"/>
                      <w:color w:val="auto"/>
                      <w:sz w:val="21"/>
                      <w:szCs w:val="21"/>
                      <w:highlight w:val="none"/>
                    </w:rPr>
                    <w:t>/</w:t>
                  </w:r>
                  <w:r>
                    <w:rPr>
                      <w:color w:val="auto"/>
                      <w:sz w:val="21"/>
                      <w:szCs w:val="21"/>
                      <w:highlight w:val="none"/>
                    </w:rPr>
                    <w:t>套</w:t>
                  </w:r>
                  <w:r>
                    <w:rPr>
                      <w:rFonts w:hint="eastAsia"/>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喷镀炉</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MX-P</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4</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蒸镀炉</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MX-Z</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2</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空压机</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BD-10A</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1</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丝印机</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非标定制</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3</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烘干炉</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MX-HGL</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2</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烧熔炉</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MX-HYL</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4</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lang w:val="en-US" w:eastAsia="zh-CN"/>
                    </w:rPr>
                    <w:t>自动</w:t>
                  </w:r>
                  <w:r>
                    <w:rPr>
                      <w:rFonts w:hint="eastAsia"/>
                      <w:color w:val="auto"/>
                    </w:rPr>
                    <w:t>覆膜机</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FM-C900300YCR</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1</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研磨机</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LSN05</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2</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lang w:val="en-US" w:eastAsia="zh-CN"/>
                    </w:rPr>
                    <w:t>功率测试</w:t>
                  </w:r>
                  <w:r>
                    <w:rPr>
                      <w:rFonts w:hint="eastAsia"/>
                      <w:color w:val="auto"/>
                    </w:rPr>
                    <w:t>台</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非标定制</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4</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多功能检测台</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MX-CST</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3</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rPr>
                    <w:t>3级喷淋塔</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bCs/>
                      <w:color w:val="auto"/>
                      <w:sz w:val="21"/>
                      <w:szCs w:val="21"/>
                      <w:highlight w:val="yellow"/>
                      <w:lang w:val="en-US" w:eastAsia="zh-CN"/>
                    </w:rPr>
                  </w:pPr>
                  <w:r>
                    <w:rPr>
                      <w:rFonts w:hint="eastAsia"/>
                      <w:color w:val="auto"/>
                      <w:lang w:val="en-US" w:eastAsia="zh-CN"/>
                    </w:rPr>
                    <w:t>风机风量</w:t>
                  </w:r>
                  <w:r>
                    <w:rPr>
                      <w:rFonts w:hint="eastAsia"/>
                      <w:color w:val="auto"/>
                      <w:highlight w:val="none"/>
                    </w:rPr>
                    <w:t>1800</w:t>
                  </w:r>
                  <w:r>
                    <w:rPr>
                      <w:color w:val="auto"/>
                      <w:highlight w:val="none"/>
                    </w:rPr>
                    <w:t>m</w:t>
                  </w:r>
                  <w:r>
                    <w:rPr>
                      <w:color w:val="auto"/>
                      <w:highlight w:val="none"/>
                      <w:vertAlign w:val="superscript"/>
                    </w:rPr>
                    <w:t>3</w:t>
                  </w:r>
                  <w:r>
                    <w:rPr>
                      <w:color w:val="auto"/>
                      <w:highlight w:val="none"/>
                    </w:rPr>
                    <w:t>/h</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1</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rPr>
                  </w:pPr>
                  <w:r>
                    <w:rPr>
                      <w:rFonts w:hint="eastAsia"/>
                      <w:color w:val="auto"/>
                    </w:rPr>
                    <w:t>活性炭吸附装置</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lang w:val="en-US" w:eastAsia="zh-CN"/>
                    </w:rPr>
                  </w:pPr>
                  <w:r>
                    <w:rPr>
                      <w:rFonts w:hint="eastAsia"/>
                      <w:color w:val="auto"/>
                      <w:lang w:val="en-US" w:eastAsia="zh-CN"/>
                    </w:rPr>
                    <w:t>风机风量</w:t>
                  </w:r>
                  <w:r>
                    <w:rPr>
                      <w:rFonts w:hint="eastAsia"/>
                      <w:color w:val="auto"/>
                      <w:highlight w:val="none"/>
                      <w:lang w:val="en-US" w:eastAsia="zh-CN"/>
                    </w:rPr>
                    <w:t>18</w:t>
                  </w:r>
                  <w:r>
                    <w:rPr>
                      <w:rFonts w:hint="eastAsia"/>
                      <w:color w:val="auto"/>
                      <w:highlight w:val="none"/>
                    </w:rPr>
                    <w:t>00</w:t>
                  </w:r>
                  <w:r>
                    <w:rPr>
                      <w:color w:val="auto"/>
                      <w:highlight w:val="none"/>
                    </w:rPr>
                    <w:t>m</w:t>
                  </w:r>
                  <w:r>
                    <w:rPr>
                      <w:color w:val="auto"/>
                      <w:highlight w:val="none"/>
                      <w:vertAlign w:val="superscript"/>
                    </w:rPr>
                    <w:t>3</w:t>
                  </w:r>
                  <w:r>
                    <w:rPr>
                      <w:color w:val="auto"/>
                      <w:highlight w:val="none"/>
                    </w:rPr>
                    <w:t>/h</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eastAsia="宋体"/>
                      <w:color w:val="auto"/>
                      <w:lang w:val="en-US" w:eastAsia="zh-CN"/>
                    </w:rPr>
                  </w:pPr>
                  <w:r>
                    <w:rPr>
                      <w:rFonts w:hint="eastAsia"/>
                      <w:color w:val="auto"/>
                      <w:lang w:val="en-US" w:eastAsia="zh-CN"/>
                    </w:rPr>
                    <w:t>1</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rPr>
                  </w:pPr>
                  <w:r>
                    <w:rPr>
                      <w:rFonts w:hint="eastAsia"/>
                      <w:color w:val="auto"/>
                      <w:lang w:val="en-US" w:eastAsia="zh-CN"/>
                    </w:rPr>
                    <w:t>两级</w:t>
                  </w:r>
                  <w:r>
                    <w:rPr>
                      <w:rFonts w:hint="eastAsia"/>
                      <w:color w:val="auto"/>
                    </w:rPr>
                    <w:t>活性炭吸附装置</w:t>
                  </w:r>
                </w:p>
              </w:tc>
              <w:tc>
                <w:tcPr>
                  <w:tcW w:w="164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lang w:val="en-US" w:eastAsia="zh-CN"/>
                    </w:rPr>
                    <w:t>风机风量</w:t>
                  </w:r>
                  <w:r>
                    <w:rPr>
                      <w:rFonts w:hint="eastAsia"/>
                      <w:color w:val="auto"/>
                      <w:highlight w:val="none"/>
                      <w:lang w:val="en-US" w:eastAsia="zh-CN"/>
                    </w:rPr>
                    <w:t>150</w:t>
                  </w:r>
                  <w:r>
                    <w:rPr>
                      <w:rFonts w:hint="eastAsia"/>
                      <w:color w:val="auto"/>
                      <w:highlight w:val="none"/>
                    </w:rPr>
                    <w:t>00</w:t>
                  </w:r>
                  <w:r>
                    <w:rPr>
                      <w:color w:val="auto"/>
                      <w:highlight w:val="none"/>
                    </w:rPr>
                    <w:t>m</w:t>
                  </w:r>
                  <w:r>
                    <w:rPr>
                      <w:color w:val="auto"/>
                      <w:highlight w:val="none"/>
                      <w:vertAlign w:val="superscript"/>
                    </w:rPr>
                    <w:t>3</w:t>
                  </w:r>
                  <w:r>
                    <w:rPr>
                      <w:color w:val="auto"/>
                      <w:highlight w:val="none"/>
                    </w:rPr>
                    <w:t>/h</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bCs/>
                      <w:color w:val="auto"/>
                      <w:sz w:val="21"/>
                      <w:szCs w:val="21"/>
                      <w:highlight w:val="yellow"/>
                      <w:lang w:val="en-US" w:eastAsia="zh-CN"/>
                    </w:rPr>
                  </w:pPr>
                  <w:r>
                    <w:rPr>
                      <w:rFonts w:hint="eastAsia"/>
                      <w:color w:val="auto"/>
                    </w:rPr>
                    <w:t>1</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yellow"/>
                    </w:rPr>
                  </w:pPr>
                  <w:r>
                    <w:rPr>
                      <w:rFonts w:hint="eastAsia" w:ascii="Times New Roman" w:hAnsi="Times New Roman" w:cs="Times New Roman"/>
                      <w:bCs/>
                      <w:color w:val="auto"/>
                      <w:sz w:val="21"/>
                      <w:szCs w:val="21"/>
                      <w:highlight w:val="none"/>
                      <w:lang w:val="en-US" w:eastAsia="zh-CN"/>
                    </w:rPr>
                    <w:t>覆膜印刷机</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yellow"/>
                      <w:lang w:val="en-US" w:eastAsia="zh-CN"/>
                    </w:rPr>
                  </w:pPr>
                  <w:r>
                    <w:rPr>
                      <w:rFonts w:hint="eastAsia" w:ascii="Times New Roman" w:hAnsi="Times New Roman" w:eastAsia="宋体" w:cs="Times New Roman"/>
                      <w:color w:val="auto"/>
                      <w:sz w:val="21"/>
                      <w:szCs w:val="21"/>
                    </w:rPr>
                    <w:t>LP1700-R1</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yellow"/>
                    </w:rPr>
                  </w:pPr>
                  <w:r>
                    <w:rPr>
                      <w:rFonts w:hint="eastAsia" w:ascii="宋体" w:hAnsi="宋体" w:eastAsia="宋体" w:cs="宋体"/>
                      <w:color w:val="auto"/>
                      <w:sz w:val="21"/>
                      <w:szCs w:val="21"/>
                      <w:lang w:val="en-US" w:eastAsia="zh-CN"/>
                    </w:rPr>
                    <w:t>覆膜烘干机</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LSN05</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color w:val="auto"/>
                      <w:sz w:val="21"/>
                      <w:szCs w:val="21"/>
                      <w:lang w:val="en-US" w:eastAsia="zh-CN"/>
                    </w:rPr>
                  </w:pPr>
                  <w:r>
                    <w:rPr>
                      <w:rFonts w:hint="eastAsia" w:ascii="Times New Roman" w:hAnsi="Times New Roman" w:cs="Times New Roman"/>
                      <w:bCs/>
                      <w:color w:val="auto"/>
                      <w:sz w:val="21"/>
                      <w:szCs w:val="21"/>
                      <w:highlight w:val="none"/>
                      <w:lang w:val="en-US" w:eastAsia="zh-CN"/>
                    </w:rPr>
                    <w:t>自动高周波塑胶熔接机</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HS-100007A</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color w:val="auto"/>
                      <w:sz w:val="21"/>
                      <w:szCs w:val="21"/>
                      <w:lang w:val="en-US" w:eastAsia="zh-CN"/>
                    </w:rPr>
                  </w:pPr>
                  <w:r>
                    <w:rPr>
                      <w:rFonts w:hint="eastAsia" w:ascii="Times New Roman" w:hAnsi="Times New Roman" w:cs="Times New Roman"/>
                      <w:bCs/>
                      <w:color w:val="auto"/>
                      <w:sz w:val="21"/>
                      <w:szCs w:val="21"/>
                      <w:highlight w:val="none"/>
                      <w:lang w:val="en-US" w:eastAsia="zh-CN"/>
                    </w:rPr>
                    <w:t>半自动高周波塑胶熔接机</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83" w:type="dxa"/>
                  <w:tcBorders>
                    <w:tl2br w:val="nil"/>
                    <w:tr2bl w:val="nil"/>
                  </w:tcBorders>
                  <w:noWrap w:val="0"/>
                  <w:vAlign w:val="center"/>
                </w:tcPr>
                <w:p>
                  <w:pPr>
                    <w:pStyle w:val="40"/>
                    <w:keepNext w:val="0"/>
                    <w:keepLines w:val="0"/>
                    <w:pageBreakBefore w:val="0"/>
                    <w:widowControl w:val="0"/>
                    <w:numPr>
                      <w:ilvl w:val="0"/>
                      <w:numId w:val="18"/>
                    </w:numPr>
                    <w:kinsoku/>
                    <w:wordWrap/>
                    <w:overflowPunct/>
                    <w:topLinePunct w:val="0"/>
                    <w:autoSpaceDE/>
                    <w:autoSpaceDN/>
                    <w:bidi w:val="0"/>
                    <w:adjustRightInd/>
                    <w:snapToGrid/>
                    <w:spacing w:line="240" w:lineRule="auto"/>
                    <w:ind w:left="0" w:leftChars="0" w:right="-24" w:rightChars="-1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0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数显高速分散机</w:t>
                  </w:r>
                </w:p>
              </w:tc>
              <w:tc>
                <w:tcPr>
                  <w:tcW w:w="164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val="en-US" w:eastAsia="zh-CN"/>
                    </w:rPr>
                    <w:t>FS-1100D</w:t>
                  </w:r>
                </w:p>
              </w:tc>
              <w:tc>
                <w:tcPr>
                  <w:tcW w:w="129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193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018"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120" w:rightChars="-5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77" w:type="dxa"/>
                  <w:gridSpan w:val="6"/>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120" w:rightChars="-50" w:firstLine="0" w:firstLineChars="0"/>
                    <w:jc w:val="left"/>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备注：本项目建成后，调整产品方案，增加部分石墨烯电发热膜生产设备，同时淘汰部分石墨烯电发热体设备。</w:t>
                  </w:r>
                </w:p>
              </w:tc>
            </w:tr>
          </w:tbl>
          <w:p>
            <w:pPr>
              <w:bidi w:val="0"/>
              <w:rPr>
                <w:rFonts w:hint="default"/>
                <w:color w:val="auto"/>
                <w:sz w:val="24"/>
                <w:szCs w:val="24"/>
                <w:highlight w:val="none"/>
              </w:rPr>
            </w:pPr>
            <w:r>
              <w:rPr>
                <w:rFonts w:hint="eastAsia"/>
                <w:color w:val="auto"/>
                <w:highlight w:val="none"/>
                <w:lang w:val="en-US" w:eastAsia="zh-CN"/>
              </w:rPr>
              <w:t>10、</w:t>
            </w:r>
            <w:r>
              <w:rPr>
                <w:rFonts w:hint="default"/>
                <w:color w:val="auto"/>
                <w:sz w:val="24"/>
                <w:szCs w:val="24"/>
                <w:highlight w:val="none"/>
              </w:rPr>
              <w:t>给排水及采暖</w:t>
            </w:r>
          </w:p>
          <w:p>
            <w:pPr>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给排水：本项目不新增用水，无废水产生。</w:t>
            </w:r>
          </w:p>
          <w:p>
            <w:pPr>
              <w:bidi w:val="0"/>
              <w:rPr>
                <w:rFonts w:hint="default"/>
                <w:color w:val="auto"/>
                <w:sz w:val="24"/>
                <w:szCs w:val="24"/>
                <w:highlight w:val="none"/>
                <w:lang w:val="en-US"/>
              </w:rPr>
            </w:pPr>
            <w:r>
              <w:rPr>
                <w:rFonts w:hint="default"/>
                <w:color w:val="auto"/>
                <w:sz w:val="24"/>
                <w:szCs w:val="24"/>
                <w:highlight w:val="none"/>
              </w:rPr>
              <w:t>取暖：</w:t>
            </w:r>
            <w:r>
              <w:rPr>
                <w:rFonts w:hint="default"/>
                <w:color w:val="auto"/>
                <w:highlight w:val="none"/>
              </w:rPr>
              <w:t>本项目</w:t>
            </w:r>
            <w:r>
              <w:rPr>
                <w:rFonts w:hint="eastAsia"/>
                <w:color w:val="auto"/>
                <w:highlight w:val="none"/>
                <w:lang w:val="en-US" w:eastAsia="zh-CN"/>
              </w:rPr>
              <w:t>生产区域不设取暖设施，办公取暖依托现有取暖设施，采用单体空调取暖，以电为能源。</w:t>
            </w:r>
          </w:p>
          <w:p>
            <w:pPr>
              <w:bidi w:val="0"/>
              <w:rPr>
                <w:rFonts w:hint="default" w:eastAsia="宋体"/>
                <w:color w:val="auto"/>
                <w:sz w:val="24"/>
                <w:szCs w:val="24"/>
                <w:highlight w:val="none"/>
                <w:lang w:val="en-US" w:eastAsia="zh-CN"/>
              </w:rPr>
            </w:pPr>
            <w:r>
              <w:rPr>
                <w:rFonts w:hint="eastAsia"/>
                <w:color w:val="auto"/>
                <w:sz w:val="24"/>
                <w:szCs w:val="24"/>
                <w:highlight w:val="none"/>
                <w:lang w:val="en-US" w:eastAsia="zh-CN"/>
              </w:rPr>
              <w:t>11、</w:t>
            </w:r>
            <w:r>
              <w:rPr>
                <w:rFonts w:hint="default"/>
                <w:color w:val="auto"/>
                <w:sz w:val="24"/>
                <w:szCs w:val="24"/>
                <w:highlight w:val="none"/>
              </w:rPr>
              <w:t>项目的地理位置、平面布置与周边关系</w:t>
            </w:r>
          </w:p>
          <w:p>
            <w:pPr>
              <w:bidi w:val="0"/>
              <w:rPr>
                <w:rFonts w:hint="default"/>
                <w:color w:val="auto"/>
                <w:sz w:val="24"/>
                <w:szCs w:val="24"/>
                <w:highlight w:val="none"/>
              </w:rPr>
            </w:pPr>
            <w:r>
              <w:rPr>
                <w:rFonts w:hint="default"/>
                <w:color w:val="auto"/>
                <w:sz w:val="24"/>
                <w:szCs w:val="24"/>
                <w:highlight w:val="none"/>
              </w:rPr>
              <w:t>地理位置：本项目位于</w:t>
            </w:r>
            <w:r>
              <w:rPr>
                <w:rFonts w:hint="eastAsia"/>
                <w:color w:val="auto"/>
                <w:sz w:val="24"/>
                <w:szCs w:val="24"/>
                <w:highlight w:val="none"/>
                <w:lang w:val="en-US" w:eastAsia="zh-CN"/>
              </w:rPr>
              <w:t>唐山市高新区学院北路1718-1号，唐山烯彤科技有限公司院内</w:t>
            </w:r>
            <w:r>
              <w:rPr>
                <w:rFonts w:hint="default"/>
                <w:color w:val="auto"/>
                <w:sz w:val="24"/>
                <w:szCs w:val="24"/>
                <w:highlight w:val="none"/>
              </w:rPr>
              <w:t>（用地中心坐标为</w:t>
            </w:r>
            <w:r>
              <w:rPr>
                <w:rFonts w:hint="default" w:ascii="Times New Roman" w:hAnsi="Times New Roman" w:cs="Times New Roman"/>
                <w:color w:val="auto"/>
                <w:sz w:val="24"/>
                <w:szCs w:val="24"/>
                <w:highlight w:val="none"/>
                <w:lang w:val="en-US" w:eastAsia="zh-CN"/>
              </w:rPr>
              <w:t>东经：118°08'52.641"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lang w:eastAsia="zh-CN"/>
              </w:rPr>
              <w:t>39°42'19.603"</w:t>
            </w:r>
            <w:r>
              <w:rPr>
                <w:rFonts w:hint="default"/>
                <w:color w:val="auto"/>
                <w:sz w:val="24"/>
                <w:szCs w:val="24"/>
                <w:highlight w:val="none"/>
              </w:rPr>
              <w:t>），地理位置图详见附图1。</w:t>
            </w:r>
          </w:p>
          <w:p>
            <w:pPr>
              <w:bidi w:val="0"/>
              <w:rPr>
                <w:rFonts w:hint="default" w:eastAsia="宋体"/>
                <w:color w:val="auto"/>
                <w:sz w:val="24"/>
                <w:szCs w:val="24"/>
                <w:highlight w:val="none"/>
                <w:shd w:val="clear" w:color="auto" w:fill="auto"/>
                <w:lang w:val="en-US" w:eastAsia="zh-CN"/>
              </w:rPr>
            </w:pPr>
            <w:r>
              <w:rPr>
                <w:rFonts w:hint="default"/>
                <w:color w:val="auto"/>
                <w:sz w:val="24"/>
                <w:szCs w:val="24"/>
                <w:highlight w:val="none"/>
                <w:shd w:val="clear" w:color="auto" w:fill="auto"/>
              </w:rPr>
              <w:t>平面布置：</w:t>
            </w:r>
            <w:r>
              <w:rPr>
                <w:rFonts w:hint="eastAsia"/>
                <w:color w:val="auto"/>
                <w:sz w:val="24"/>
                <w:szCs w:val="24"/>
                <w:highlight w:val="none"/>
                <w:shd w:val="clear" w:color="auto" w:fill="auto"/>
                <w:lang w:val="en-US" w:eastAsia="zh-CN"/>
              </w:rPr>
              <w:t>生产车间位于厂区中部，生产车间南侧为办公区，北侧为生产区，生产区一层主要用于生产，二层主要用于原料、成品储存，危废间位于生产区一层西北侧，生产车间北侧为停车场，厂区大门口位于南侧</w:t>
            </w:r>
            <w:r>
              <w:rPr>
                <w:rFonts w:hint="eastAsia"/>
                <w:color w:val="auto"/>
                <w:kern w:val="0"/>
                <w:sz w:val="24"/>
                <w:highlight w:val="none"/>
                <w:shd w:val="clear" w:color="auto" w:fill="FFFFFF"/>
                <w:lang w:eastAsia="zh-CN" w:bidi="ar"/>
              </w:rPr>
              <w:t>。</w:t>
            </w:r>
            <w:r>
              <w:rPr>
                <w:rFonts w:hint="eastAsia"/>
                <w:color w:val="auto"/>
                <w:kern w:val="0"/>
                <w:sz w:val="24"/>
                <w:highlight w:val="none"/>
                <w:shd w:val="clear" w:color="auto" w:fill="FFFFFF"/>
                <w:lang w:val="en-US" w:eastAsia="zh-CN" w:bidi="ar"/>
              </w:rPr>
              <w:t>本项目新增覆膜印刷机、覆膜烘干机、数显高速分散机位于生产车间一层上生产区南侧，全自动高周波塑胶熔接机、半自动高周波塑胶熔接机位于生产车间生产区二层南侧。</w:t>
            </w:r>
          </w:p>
          <w:p>
            <w:pPr>
              <w:keepNext w:val="0"/>
              <w:keepLines w:val="0"/>
              <w:pageBreakBefore w:val="0"/>
              <w:widowControl w:val="0"/>
              <w:tabs>
                <w:tab w:val="left" w:pos="6310"/>
              </w:tabs>
              <w:kinsoku/>
              <w:wordWrap/>
              <w:overflowPunct/>
              <w:topLinePunct w:val="0"/>
              <w:autoSpaceDE/>
              <w:autoSpaceDN/>
              <w:bidi w:val="0"/>
              <w:spacing w:line="480" w:lineRule="exact"/>
              <w:ind w:right="0" w:rightChars="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周边关系：本项目位于</w:t>
            </w:r>
            <w:r>
              <w:rPr>
                <w:rFonts w:hint="eastAsia"/>
                <w:color w:val="auto"/>
                <w:sz w:val="24"/>
                <w:szCs w:val="24"/>
                <w:highlight w:val="none"/>
                <w:lang w:val="en-US" w:eastAsia="zh-CN"/>
              </w:rPr>
              <w:t>唐山市高新区学院北路1718-1号，唐山烯彤科技有限公司院内，周边关系不发生变化，东侧为在建企业和河北北上节能科技有限公司，南侧为创新大道，西侧为垃圾转运站，北侧为唐山德筑医药有限公司。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eastAsia="宋体"/>
                <w:color w:val="auto"/>
                <w:sz w:val="24"/>
                <w:szCs w:val="24"/>
                <w:highlight w:val="none"/>
              </w:rPr>
              <w:t>工艺流程和产排污环节</w:t>
            </w:r>
          </w:p>
        </w:tc>
        <w:tc>
          <w:tcPr>
            <w:tcW w:w="8514" w:type="dxa"/>
            <w:noWrap w:val="0"/>
            <w:vAlign w:val="top"/>
          </w:tcPr>
          <w:p>
            <w:pPr>
              <w:numPr>
                <w:ilvl w:val="0"/>
                <w:numId w:val="19"/>
              </w:numPr>
              <w:bidi w:val="0"/>
              <w:ind w:left="0" w:leftChars="0" w:firstLine="0" w:firstLineChars="0"/>
              <w:rPr>
                <w:rFonts w:hint="default"/>
                <w:b/>
                <w:bCs/>
                <w:color w:val="auto"/>
                <w:highlight w:val="none"/>
              </w:rPr>
            </w:pPr>
            <w:r>
              <w:rPr>
                <w:rFonts w:hint="eastAsia"/>
                <w:b/>
                <w:bCs/>
                <w:color w:val="auto"/>
                <w:highlight w:val="none"/>
                <w:lang w:val="en-US" w:eastAsia="zh-CN"/>
              </w:rPr>
              <w:t>工艺流程</w:t>
            </w:r>
          </w:p>
          <w:p>
            <w:pPr>
              <w:bidi w:val="0"/>
              <w:rPr>
                <w:rFonts w:hint="eastAsia" w:cs="Times New Roman"/>
                <w:i w:val="0"/>
                <w:color w:val="auto"/>
                <w:kern w:val="0"/>
                <w:sz w:val="24"/>
                <w:szCs w:val="24"/>
                <w:u w:val="none"/>
                <w:lang w:val="en-US" w:eastAsia="zh-CN" w:bidi="ar"/>
              </w:rPr>
            </w:pPr>
            <w:r>
              <w:rPr>
                <w:rFonts w:hint="eastAsia"/>
                <w:color w:val="auto"/>
                <w:sz w:val="24"/>
                <w:szCs w:val="24"/>
                <w:highlight w:val="none"/>
                <w:lang w:val="en-US" w:eastAsia="zh-CN"/>
              </w:rPr>
              <w:t>本项目主要</w:t>
            </w:r>
            <w:r>
              <w:rPr>
                <w:rFonts w:hint="eastAsia"/>
                <w:color w:val="auto"/>
                <w:highlight w:val="none"/>
                <w:lang w:val="en-US" w:eastAsia="zh-CN"/>
              </w:rPr>
              <w:t>对现有石墨烯电发热元件生产线进行改造，调整产品方案，购置石墨烯电发热膜相关设备，石墨烯电发热元件产能不发生变化，仍为年产石墨烯电发热元件8万套（石墨烯电发热体7万套/a，石墨烯电发热膜1万套/a），同时，新建节能速热电锅炉组装生产线，将石墨烯电发热体生产线生产的石墨烯电发热体与进购的机箱外壳、触摸控制板、耐高温线等零配件采用手工和螺丝进行组装</w:t>
            </w:r>
            <w:r>
              <w:rPr>
                <w:rFonts w:hint="eastAsia" w:ascii="Times New Roman" w:hAnsi="Times New Roman" w:eastAsia="宋体" w:cs="Times New Roman"/>
                <w:i w:val="0"/>
                <w:color w:val="auto"/>
                <w:kern w:val="0"/>
                <w:sz w:val="24"/>
                <w:szCs w:val="24"/>
                <w:u w:val="none"/>
                <w:lang w:val="en-US" w:eastAsia="zh-CN" w:bidi="ar"/>
              </w:rPr>
              <w:t>，生产节能速热电锅炉</w:t>
            </w:r>
            <w:r>
              <w:rPr>
                <w:rFonts w:hint="eastAsia" w:cs="Times New Roman"/>
                <w:i w:val="0"/>
                <w:color w:val="auto"/>
                <w:kern w:val="0"/>
                <w:sz w:val="24"/>
                <w:szCs w:val="24"/>
                <w:u w:val="none"/>
                <w:lang w:val="en-US" w:eastAsia="zh-CN" w:bidi="ar"/>
              </w:rPr>
              <w:t>，年产节能速热电锅炉5万台。</w:t>
            </w:r>
          </w:p>
          <w:p>
            <w:pPr>
              <w:numPr>
                <w:ilvl w:val="0"/>
                <w:numId w:val="20"/>
              </w:numPr>
              <w:bidi w:val="0"/>
              <w:rPr>
                <w:rFonts w:hint="eastAsia" w:cs="Times New Roman"/>
                <w:i w:val="0"/>
                <w:color w:val="auto"/>
                <w:kern w:val="0"/>
                <w:sz w:val="24"/>
                <w:szCs w:val="24"/>
                <w:u w:val="none"/>
                <w:lang w:val="en-US" w:eastAsia="zh-CN" w:bidi="ar"/>
              </w:rPr>
            </w:pPr>
            <w:r>
              <w:rPr>
                <w:rFonts w:hint="eastAsia" w:cs="Times New Roman"/>
                <w:i w:val="0"/>
                <w:color w:val="auto"/>
                <w:kern w:val="0"/>
                <w:sz w:val="24"/>
                <w:szCs w:val="24"/>
                <w:u w:val="none"/>
                <w:lang w:val="en-US" w:eastAsia="zh-CN" w:bidi="ar"/>
              </w:rPr>
              <w:t>石墨烯电发热体生产工艺流程</w:t>
            </w:r>
          </w:p>
          <w:p>
            <w:pPr>
              <w:bidi w:val="0"/>
              <w:rPr>
                <w:rFonts w:hint="eastAsia"/>
                <w:color w:val="auto"/>
                <w:lang w:val="en-US" w:eastAsia="zh-CN"/>
              </w:rPr>
            </w:pPr>
            <w:r>
              <w:rPr>
                <w:rFonts w:hint="eastAsia"/>
                <w:color w:val="auto"/>
                <w:lang w:val="en-US" w:eastAsia="zh-CN"/>
              </w:rPr>
              <w:t>本项目建成后，石墨烯电发热体生产过程不再使用云母进行生产，全部使用石英管进行生产，相应覆膜工序取消，其余工序及产排污节点均不发生变化，本项目建成后，石墨烯发热体生产工艺流程及排污节点图见下图。</w:t>
            </w:r>
          </w:p>
          <w:p>
            <w:pPr>
              <w:bidi w:val="0"/>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drawing>
                <wp:inline distT="0" distB="0" distL="114300" distR="114300">
                  <wp:extent cx="3343910" cy="5507990"/>
                  <wp:effectExtent l="0" t="0" r="8890" b="165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3343910" cy="5507990"/>
                          </a:xfrm>
                          <a:prstGeom prst="rect">
                            <a:avLst/>
                          </a:prstGeom>
                          <a:noFill/>
                          <a:ln>
                            <a:noFill/>
                          </a:ln>
                        </pic:spPr>
                      </pic:pic>
                    </a:graphicData>
                  </a:graphic>
                </wp:inline>
              </w:drawing>
            </w:r>
          </w:p>
          <w:p>
            <w:pPr>
              <w:pStyle w:val="31"/>
              <w:bidi w:val="0"/>
              <w:rPr>
                <w:rFonts w:hint="eastAsia"/>
                <w:color w:val="auto"/>
                <w:lang w:val="en-US" w:eastAsia="zh-CN"/>
              </w:rPr>
            </w:pPr>
            <w:r>
              <w:rPr>
                <w:rFonts w:hint="eastAsia"/>
                <w:color w:val="auto"/>
                <w:lang w:val="en-US" w:eastAsia="zh-CN"/>
              </w:rPr>
              <w:t>图3  本项目建成后石墨烯电发热体生产</w:t>
            </w:r>
            <w:r>
              <w:rPr>
                <w:rFonts w:hint="default"/>
                <w:color w:val="auto"/>
                <w:lang w:val="en-US" w:eastAsia="zh-CN"/>
              </w:rPr>
              <w:t>工艺流程及排污节点图</w:t>
            </w:r>
          </w:p>
          <w:p>
            <w:pPr>
              <w:numPr>
                <w:ilvl w:val="0"/>
                <w:numId w:val="20"/>
              </w:numPr>
              <w:bidi w:val="0"/>
              <w:ind w:left="0" w:leftChars="0" w:firstLine="480" w:firstLineChars="200"/>
              <w:rPr>
                <w:rFonts w:hint="eastAsia"/>
                <w:color w:val="auto"/>
                <w:lang w:val="en-US" w:eastAsia="zh-CN"/>
              </w:rPr>
            </w:pPr>
            <w:r>
              <w:rPr>
                <w:rFonts w:hint="eastAsia"/>
                <w:color w:val="auto"/>
                <w:lang w:val="en-US" w:eastAsia="zh-CN"/>
              </w:rPr>
              <w:t>石墨烯电发热膜生产工艺流程</w:t>
            </w:r>
          </w:p>
          <w:p>
            <w:pPr>
              <w:bidi w:val="0"/>
              <w:rPr>
                <w:rFonts w:hint="default" w:eastAsia="宋体"/>
                <w:color w:val="auto"/>
                <w:lang w:val="en-US" w:eastAsia="zh-CN"/>
              </w:rPr>
            </w:pPr>
            <w:r>
              <w:rPr>
                <w:rFonts w:hint="default"/>
                <w:color w:val="auto"/>
                <w:lang w:val="en-US" w:eastAsia="zh-CN"/>
              </w:rPr>
              <w:t>①</w:t>
            </w:r>
            <w:r>
              <w:rPr>
                <w:rFonts w:hint="eastAsia"/>
                <w:color w:val="auto"/>
                <w:lang w:val="en-US" w:eastAsia="zh-CN"/>
              </w:rPr>
              <w:t>导电浆料配制：本项目所用导电浆料为导电碳浆，导电碳浆在厂区自行调配，导电碳浆成份及配比为：</w:t>
            </w:r>
            <w:r>
              <w:rPr>
                <w:rFonts w:hint="eastAsia"/>
                <w:color w:val="auto"/>
                <w:sz w:val="24"/>
                <w:szCs w:val="24"/>
                <w:lang w:val="en-US" w:eastAsia="zh-CN"/>
              </w:rPr>
              <w:t>水性有机硅树脂25%、水性丙烯酸树脂40%、丙二醇10%、石墨烯5%、石墨10%、碳黑5%、异氰酸酯5%，</w:t>
            </w:r>
            <w:r>
              <w:rPr>
                <w:rFonts w:hint="eastAsia"/>
                <w:color w:val="auto"/>
                <w:lang w:val="en-US" w:eastAsia="zh-CN"/>
              </w:rPr>
              <w:t>生产时，</w:t>
            </w:r>
            <w:r>
              <w:rPr>
                <w:rFonts w:hint="eastAsia"/>
                <w:color w:val="auto"/>
              </w:rPr>
              <w:t>石墨烯由研磨机研磨成纳米级，研磨过程为真空加湿研磨，研磨后由人工</w:t>
            </w:r>
            <w:r>
              <w:rPr>
                <w:rFonts w:hint="eastAsia"/>
                <w:color w:val="auto"/>
                <w:lang w:val="en-US" w:eastAsia="zh-CN"/>
              </w:rPr>
              <w:t>将其与</w:t>
            </w:r>
            <w:r>
              <w:rPr>
                <w:rFonts w:hint="eastAsia"/>
                <w:color w:val="auto"/>
                <w:sz w:val="24"/>
                <w:szCs w:val="24"/>
                <w:lang w:val="en-US" w:eastAsia="zh-CN"/>
              </w:rPr>
              <w:t>水性有机硅树脂、水性丙烯酸树脂、丙二醇、石墨、碳黑、异氰酸酯按照配比混合，采用数显高速分散机进行混合分散。</w:t>
            </w:r>
          </w:p>
          <w:p>
            <w:pPr>
              <w:bidi w:val="0"/>
              <w:rPr>
                <w:rFonts w:hint="eastAsia"/>
                <w:b/>
                <w:bCs/>
                <w:color w:val="auto"/>
                <w:lang w:val="en-US" w:eastAsia="zh-CN"/>
              </w:rPr>
            </w:pPr>
            <w:r>
              <w:rPr>
                <w:rFonts w:hint="eastAsia"/>
                <w:b/>
                <w:bCs/>
                <w:color w:val="auto"/>
                <w:lang w:val="en-US" w:eastAsia="zh-CN"/>
              </w:rPr>
              <w:t>本工序产污节点主要为：导电碳浆混合分散过程产生的废气；设备运行产生的噪声；生产过程产生的废包装物。</w:t>
            </w:r>
          </w:p>
          <w:p>
            <w:pPr>
              <w:bidi w:val="0"/>
              <w:rPr>
                <w:rFonts w:hint="eastAsia"/>
                <w:color w:val="auto"/>
                <w:lang w:val="en-US" w:eastAsia="zh-CN"/>
              </w:rPr>
            </w:pPr>
            <w:r>
              <w:rPr>
                <w:rFonts w:hint="default"/>
                <w:color w:val="auto"/>
                <w:lang w:val="en-US" w:eastAsia="zh-CN"/>
              </w:rPr>
              <w:t>②</w:t>
            </w:r>
            <w:r>
              <w:rPr>
                <w:rFonts w:hint="eastAsia"/>
                <w:color w:val="auto"/>
                <w:lang w:val="en-US" w:eastAsia="zh-CN"/>
              </w:rPr>
              <w:t>印刷：人工将外购的PET膜置于覆膜印刷机上进行放卷，将配制好的导电碳浆采用覆膜印刷机印刷至PET膜上。</w:t>
            </w:r>
          </w:p>
          <w:p>
            <w:pPr>
              <w:bidi w:val="0"/>
              <w:rPr>
                <w:rFonts w:hint="eastAsia"/>
                <w:b/>
                <w:bCs/>
                <w:color w:val="auto"/>
                <w:lang w:val="en-US" w:eastAsia="zh-CN"/>
              </w:rPr>
            </w:pPr>
            <w:r>
              <w:rPr>
                <w:rFonts w:hint="eastAsia"/>
                <w:b/>
                <w:bCs/>
                <w:color w:val="auto"/>
                <w:lang w:val="en-US" w:eastAsia="zh-CN"/>
              </w:rPr>
              <w:t>本工序产污节点主要为：印刷过程产生的废气；设备运行产生的噪声。</w:t>
            </w:r>
          </w:p>
          <w:p>
            <w:pPr>
              <w:bidi w:val="0"/>
              <w:rPr>
                <w:rFonts w:hint="eastAsia"/>
                <w:color w:val="auto"/>
                <w:lang w:val="en-US" w:eastAsia="zh-CN"/>
              </w:rPr>
            </w:pPr>
            <w:r>
              <w:rPr>
                <w:rFonts w:hint="default"/>
                <w:color w:val="auto"/>
                <w:lang w:val="en-US" w:eastAsia="zh-CN"/>
              </w:rPr>
              <w:t>③</w:t>
            </w:r>
            <w:r>
              <w:rPr>
                <w:rFonts w:hint="eastAsia"/>
                <w:color w:val="auto"/>
                <w:lang w:val="en-US" w:eastAsia="zh-CN"/>
              </w:rPr>
              <w:t>烘干：印刷好的PET膜通过设备的驱动装置自动送至覆膜烘干机进行烘干，烘干温度为</w:t>
            </w:r>
            <w:r>
              <w:rPr>
                <w:rFonts w:hint="default" w:ascii="Times New Roman" w:hAnsi="Times New Roman" w:cs="Times New Roman"/>
                <w:color w:val="auto"/>
                <w:lang w:val="en-US" w:eastAsia="zh-CN"/>
              </w:rPr>
              <w:t>120℃-140℃</w:t>
            </w:r>
            <w:r>
              <w:rPr>
                <w:rFonts w:hint="eastAsia" w:ascii="Times New Roman" w:hAnsi="Times New Roman" w:cs="Times New Roman"/>
                <w:color w:val="auto"/>
                <w:lang w:val="en-US" w:eastAsia="zh-CN"/>
              </w:rPr>
              <w:t>，</w:t>
            </w:r>
            <w:r>
              <w:rPr>
                <w:rFonts w:hint="eastAsia"/>
                <w:color w:val="auto"/>
                <w:lang w:val="en-US" w:eastAsia="zh-CN"/>
              </w:rPr>
              <w:t>烘干后经覆膜烘干机收卷装置自动收卷，收卷后即为石墨烯电发热膜半成品。</w:t>
            </w:r>
          </w:p>
          <w:p>
            <w:pPr>
              <w:bidi w:val="0"/>
              <w:rPr>
                <w:rFonts w:hint="eastAsia"/>
                <w:b/>
                <w:bCs/>
                <w:color w:val="auto"/>
                <w:lang w:val="en-US" w:eastAsia="zh-CN"/>
              </w:rPr>
            </w:pPr>
            <w:r>
              <w:rPr>
                <w:rFonts w:hint="eastAsia"/>
                <w:b/>
                <w:bCs/>
                <w:color w:val="auto"/>
                <w:lang w:val="en-US" w:eastAsia="zh-CN"/>
              </w:rPr>
              <w:t>本工序产污节点主要为：印刷烘干过程产生的废气；设备运行产生的噪声。</w:t>
            </w:r>
          </w:p>
          <w:p>
            <w:pPr>
              <w:bidi w:val="0"/>
              <w:rPr>
                <w:rFonts w:hint="default"/>
                <w:color w:val="auto"/>
                <w:lang w:val="en-US" w:eastAsia="zh-CN"/>
              </w:rPr>
            </w:pPr>
            <w:r>
              <w:rPr>
                <w:rFonts w:hint="default"/>
                <w:color w:val="auto"/>
                <w:lang w:val="en-US" w:eastAsia="zh-CN"/>
              </w:rPr>
              <w:t>④</w:t>
            </w:r>
            <w:r>
              <w:rPr>
                <w:rFonts w:hint="eastAsia"/>
                <w:color w:val="auto"/>
                <w:lang w:val="en-US" w:eastAsia="zh-CN"/>
              </w:rPr>
              <w:t>覆膜：人工将半成品送至覆膜机上进行放卷，采用覆膜机将铜条压制在印有导电碳浆面的左右两端，并在半成品上下面各覆一层PET膜，覆膜后经覆膜机收卷装置收卷，覆膜过程温度约为</w:t>
            </w:r>
            <w:r>
              <w:rPr>
                <w:rFonts w:hint="default" w:ascii="Times New Roman" w:hAnsi="Times New Roman" w:cs="Times New Roman"/>
                <w:color w:val="auto"/>
                <w:lang w:val="en-US" w:eastAsia="zh-CN"/>
              </w:rPr>
              <w:t>1</w:t>
            </w:r>
            <w:r>
              <w:rPr>
                <w:rFonts w:hint="eastAsia" w:cs="Times New Roman"/>
                <w:color w:val="auto"/>
                <w:lang w:val="en-US" w:eastAsia="zh-CN"/>
              </w:rPr>
              <w:t>4</w:t>
            </w:r>
            <w:r>
              <w:rPr>
                <w:rFonts w:hint="default" w:ascii="Times New Roman" w:hAnsi="Times New Roman" w:cs="Times New Roman"/>
                <w:color w:val="auto"/>
                <w:lang w:val="en-US" w:eastAsia="zh-CN"/>
              </w:rPr>
              <w:t>0℃-1</w:t>
            </w:r>
            <w:r>
              <w:rPr>
                <w:rFonts w:hint="eastAsia" w:cs="Times New Roman"/>
                <w:color w:val="auto"/>
                <w:lang w:val="en-US" w:eastAsia="zh-CN"/>
              </w:rPr>
              <w:t>7</w:t>
            </w:r>
            <w:r>
              <w:rPr>
                <w:rFonts w:hint="default" w:ascii="Times New Roman" w:hAnsi="Times New Roman" w:cs="Times New Roman"/>
                <w:color w:val="auto"/>
                <w:lang w:val="en-US" w:eastAsia="zh-CN"/>
              </w:rPr>
              <w:t>0℃</w:t>
            </w:r>
            <w:r>
              <w:rPr>
                <w:rFonts w:hint="eastAsia"/>
                <w:color w:val="auto"/>
                <w:lang w:val="en-US" w:eastAsia="zh-CN"/>
              </w:rPr>
              <w:t>。</w:t>
            </w:r>
          </w:p>
          <w:p>
            <w:pPr>
              <w:bidi w:val="0"/>
              <w:rPr>
                <w:rFonts w:hint="eastAsia"/>
                <w:b/>
                <w:bCs/>
                <w:color w:val="auto"/>
                <w:lang w:val="en-US" w:eastAsia="zh-CN"/>
              </w:rPr>
            </w:pPr>
            <w:r>
              <w:rPr>
                <w:rFonts w:hint="eastAsia"/>
                <w:b/>
                <w:bCs/>
                <w:color w:val="auto"/>
                <w:lang w:val="en-US" w:eastAsia="zh-CN"/>
              </w:rPr>
              <w:t>本工序产污节点主要为：覆膜过程产生的废气；设备运行产生的噪声。</w:t>
            </w:r>
          </w:p>
          <w:p>
            <w:pPr>
              <w:bidi w:val="0"/>
              <w:rPr>
                <w:rFonts w:hint="eastAsia"/>
                <w:color w:val="auto"/>
                <w:lang w:val="en-US" w:eastAsia="zh-CN"/>
              </w:rPr>
            </w:pPr>
            <w:r>
              <w:rPr>
                <w:rFonts w:hint="default"/>
                <w:color w:val="auto"/>
                <w:lang w:val="en-US" w:eastAsia="zh-CN"/>
              </w:rPr>
              <w:t>⑤</w:t>
            </w:r>
            <w:r>
              <w:rPr>
                <w:rFonts w:hint="eastAsia"/>
                <w:color w:val="auto"/>
                <w:lang w:val="en-US" w:eastAsia="zh-CN"/>
              </w:rPr>
              <w:t>裁切：根据客户需求，人工采用裁切刀对将石墨烯电发热膜裁切成所需的规格。</w:t>
            </w:r>
          </w:p>
          <w:p>
            <w:pPr>
              <w:bidi w:val="0"/>
              <w:rPr>
                <w:rFonts w:hint="eastAsia"/>
                <w:b/>
                <w:bCs/>
                <w:color w:val="auto"/>
                <w:lang w:val="en-US" w:eastAsia="zh-CN"/>
              </w:rPr>
            </w:pPr>
            <w:r>
              <w:rPr>
                <w:rFonts w:hint="eastAsia"/>
                <w:b/>
                <w:bCs/>
                <w:color w:val="auto"/>
                <w:lang w:val="en-US" w:eastAsia="zh-CN"/>
              </w:rPr>
              <w:t>本工序产污节点主要为：裁切过程产生的PET膜边角料。</w:t>
            </w:r>
          </w:p>
          <w:p>
            <w:pPr>
              <w:bidi w:val="0"/>
              <w:rPr>
                <w:rFonts w:hint="eastAsia" w:cs="Times New Roman"/>
                <w:color w:val="auto"/>
                <w:lang w:val="en-US" w:eastAsia="zh-CN"/>
              </w:rPr>
            </w:pPr>
            <w:r>
              <w:rPr>
                <w:rFonts w:hint="default"/>
                <w:color w:val="auto"/>
                <w:lang w:val="en-US" w:eastAsia="zh-CN"/>
              </w:rPr>
              <w:t>⑥</w:t>
            </w:r>
            <w:r>
              <w:rPr>
                <w:rFonts w:hint="eastAsia"/>
                <w:color w:val="auto"/>
                <w:lang w:val="en-US" w:eastAsia="zh-CN"/>
              </w:rPr>
              <w:t>封装：对裁切后的石墨烯电发热膜采用PVC膜进行封装，封装后即为成品。外购PVC膜根据石墨烯电发热膜尺寸，人工采用裁切刀对其进行裁切，裁切后的两层PVC膜采用高周波塑胶熔接机对其进行热压封边，成为PVC膜套，封边温度为</w:t>
            </w:r>
            <w:r>
              <w:rPr>
                <w:rFonts w:hint="default" w:ascii="Times New Roman" w:hAnsi="Times New Roman" w:cs="Times New Roman"/>
                <w:color w:val="auto"/>
                <w:lang w:val="en-US" w:eastAsia="zh-CN"/>
              </w:rPr>
              <w:t>120℃-140℃</w:t>
            </w:r>
            <w:r>
              <w:rPr>
                <w:rFonts w:hint="eastAsia" w:cs="Times New Roman"/>
                <w:color w:val="auto"/>
                <w:lang w:val="en-US" w:eastAsia="zh-CN"/>
              </w:rPr>
              <w:t>，人工将</w:t>
            </w:r>
            <w:r>
              <w:rPr>
                <w:rFonts w:hint="eastAsia"/>
                <w:color w:val="auto"/>
                <w:lang w:val="en-US" w:eastAsia="zh-CN"/>
              </w:rPr>
              <w:t>石墨烯电发热膜装入PVC膜套中，即为成品</w:t>
            </w:r>
            <w:r>
              <w:rPr>
                <w:rFonts w:hint="eastAsia" w:cs="Times New Roman"/>
                <w:color w:val="auto"/>
                <w:lang w:val="en-US" w:eastAsia="zh-CN"/>
              </w:rPr>
              <w:t>。</w:t>
            </w:r>
          </w:p>
          <w:p>
            <w:pPr>
              <w:bidi w:val="0"/>
              <w:rPr>
                <w:rFonts w:hint="eastAsia"/>
                <w:b/>
                <w:bCs/>
                <w:color w:val="auto"/>
                <w:lang w:val="en-US" w:eastAsia="zh-CN"/>
              </w:rPr>
            </w:pPr>
            <w:r>
              <w:rPr>
                <w:rFonts w:hint="eastAsia"/>
                <w:b/>
                <w:bCs/>
                <w:color w:val="auto"/>
                <w:lang w:val="en-US" w:eastAsia="zh-CN"/>
              </w:rPr>
              <w:t>本工序产污节点主要为：封边过程产生的废气；裁切过程产生的PVC膜边角料。</w:t>
            </w: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bidi w:val="0"/>
              <w:rPr>
                <w:rFonts w:hint="eastAsia"/>
                <w:b/>
                <w:bCs/>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lang w:val="en-US" w:eastAsia="zh-CN"/>
              </w:rPr>
            </w:pPr>
            <w:r>
              <w:rPr>
                <w:color w:val="auto"/>
              </w:rPr>
              <w:drawing>
                <wp:inline distT="0" distB="0" distL="114300" distR="114300">
                  <wp:extent cx="3600450" cy="4464050"/>
                  <wp:effectExtent l="0" t="0" r="0" b="1270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3600450" cy="4464050"/>
                          </a:xfrm>
                          <a:prstGeom prst="rect">
                            <a:avLst/>
                          </a:prstGeom>
                          <a:noFill/>
                          <a:ln>
                            <a:noFill/>
                          </a:ln>
                        </pic:spPr>
                      </pic:pic>
                    </a:graphicData>
                  </a:graphic>
                </wp:inline>
              </w:drawing>
            </w:r>
          </w:p>
          <w:p>
            <w:pPr>
              <w:pStyle w:val="31"/>
              <w:bidi w:val="0"/>
              <w:rPr>
                <w:rFonts w:hint="default"/>
                <w:b/>
                <w:bCs/>
                <w:color w:val="auto"/>
                <w:highlight w:val="none"/>
                <w:lang w:val="en-US" w:eastAsia="zh-CN"/>
              </w:rPr>
            </w:pPr>
            <w:r>
              <w:rPr>
                <w:rFonts w:hint="eastAsia"/>
                <w:color w:val="auto"/>
                <w:highlight w:val="none"/>
                <w:lang w:val="en-US" w:eastAsia="zh-CN"/>
              </w:rPr>
              <w:t>图4  石墨烯电发热膜生产</w:t>
            </w:r>
            <w:r>
              <w:rPr>
                <w:rFonts w:hint="default"/>
                <w:color w:val="auto"/>
                <w:highlight w:val="none"/>
                <w:lang w:val="en-US" w:eastAsia="zh-CN"/>
              </w:rPr>
              <w:t>工艺流程及排污节点图</w:t>
            </w:r>
          </w:p>
          <w:p>
            <w:pPr>
              <w:bidi w:val="0"/>
              <w:rPr>
                <w:rFonts w:hint="default"/>
                <w:color w:val="auto"/>
                <w:lang w:val="en-US" w:eastAsia="zh-CN"/>
              </w:rPr>
            </w:pPr>
            <w:r>
              <w:rPr>
                <w:rFonts w:hint="eastAsia"/>
                <w:color w:val="auto"/>
                <w:lang w:val="en-US" w:eastAsia="zh-CN"/>
              </w:rPr>
              <w:t>（3）</w:t>
            </w:r>
            <w:r>
              <w:rPr>
                <w:rFonts w:hint="eastAsia"/>
                <w:color w:val="auto"/>
                <w:highlight w:val="none"/>
                <w:lang w:val="en-US" w:eastAsia="zh-CN"/>
              </w:rPr>
              <w:t>节能速热电锅炉组装生产工艺流程</w:t>
            </w:r>
          </w:p>
          <w:p>
            <w:pPr>
              <w:bidi w:val="0"/>
              <w:rPr>
                <w:rFonts w:hint="eastAsia" w:ascii="Times New Roman" w:hAnsi="Times New Roman" w:cs="Times New Roman"/>
                <w:i w:val="0"/>
                <w:color w:val="auto"/>
                <w:kern w:val="0"/>
                <w:sz w:val="24"/>
                <w:szCs w:val="24"/>
                <w:u w:val="none"/>
                <w:lang w:val="en-US" w:eastAsia="zh-CN" w:bidi="ar"/>
              </w:rPr>
            </w:pPr>
            <w:r>
              <w:rPr>
                <w:rFonts w:hint="eastAsia"/>
                <w:snapToGrid w:val="0"/>
                <w:color w:val="auto"/>
                <w:kern w:val="0"/>
                <w:sz w:val="24"/>
                <w:szCs w:val="24"/>
                <w:lang w:val="en-US" w:eastAsia="zh-CN"/>
              </w:rPr>
              <w:t>本项目节能速热电锅炉以</w:t>
            </w:r>
            <w:r>
              <w:rPr>
                <w:rFonts w:hint="eastAsia" w:cs="Times New Roman"/>
                <w:i w:val="0"/>
                <w:color w:val="auto"/>
                <w:kern w:val="0"/>
                <w:sz w:val="24"/>
                <w:szCs w:val="24"/>
                <w:u w:val="none"/>
                <w:lang w:val="en-US" w:eastAsia="zh-CN" w:bidi="ar"/>
              </w:rPr>
              <w:t>石墨烯电发热体生产线生产</w:t>
            </w:r>
            <w:r>
              <w:rPr>
                <w:rFonts w:hint="eastAsia"/>
                <w:snapToGrid w:val="0"/>
                <w:color w:val="auto"/>
                <w:kern w:val="0"/>
                <w:sz w:val="24"/>
                <w:szCs w:val="24"/>
                <w:lang w:val="en-US" w:eastAsia="zh-CN"/>
              </w:rPr>
              <w:t>的电发热体为主要元器件，与进购的</w:t>
            </w:r>
            <w:r>
              <w:rPr>
                <w:rFonts w:hint="eastAsia"/>
                <w:snapToGrid w:val="0"/>
                <w:color w:val="auto"/>
                <w:kern w:val="0"/>
                <w:sz w:val="24"/>
                <w:szCs w:val="24"/>
                <w:highlight w:val="none"/>
                <w:lang w:val="en-US" w:eastAsia="zh-CN"/>
              </w:rPr>
              <w:t>机箱外壳、触摸控制板、耐高温线等零配件</w:t>
            </w:r>
            <w:r>
              <w:rPr>
                <w:rFonts w:hint="eastAsia" w:ascii="Times New Roman" w:hAnsi="Times New Roman" w:eastAsia="宋体" w:cs="Times New Roman"/>
                <w:i w:val="0"/>
                <w:color w:val="auto"/>
                <w:kern w:val="0"/>
                <w:sz w:val="24"/>
                <w:szCs w:val="24"/>
                <w:u w:val="none"/>
                <w:lang w:val="en-US" w:eastAsia="zh-CN" w:bidi="ar"/>
              </w:rPr>
              <w:t>采用手工和</w:t>
            </w:r>
            <w:r>
              <w:rPr>
                <w:rFonts w:hint="default" w:ascii="Times New Roman" w:hAnsi="Times New Roman" w:eastAsia="宋体" w:cs="Times New Roman"/>
                <w:i w:val="0"/>
                <w:color w:val="auto"/>
                <w:kern w:val="0"/>
                <w:sz w:val="24"/>
                <w:szCs w:val="24"/>
                <w:u w:val="none"/>
                <w:lang w:val="en-US" w:eastAsia="zh-CN" w:bidi="ar"/>
              </w:rPr>
              <w:t>螺丝</w:t>
            </w:r>
            <w:r>
              <w:rPr>
                <w:rFonts w:hint="eastAsia" w:ascii="Times New Roman" w:hAnsi="Times New Roman" w:eastAsia="宋体" w:cs="Times New Roman"/>
                <w:i w:val="0"/>
                <w:color w:val="auto"/>
                <w:kern w:val="0"/>
                <w:sz w:val="24"/>
                <w:szCs w:val="24"/>
                <w:u w:val="none"/>
                <w:lang w:val="en-US" w:eastAsia="zh-CN" w:bidi="ar"/>
              </w:rPr>
              <w:t>进行组装，</w:t>
            </w:r>
            <w:r>
              <w:rPr>
                <w:rFonts w:hint="eastAsia" w:ascii="Times New Roman" w:hAnsi="Times New Roman" w:cs="Times New Roman"/>
                <w:i w:val="0"/>
                <w:color w:val="auto"/>
                <w:kern w:val="0"/>
                <w:sz w:val="24"/>
                <w:szCs w:val="24"/>
                <w:u w:val="none"/>
                <w:lang w:val="en-US" w:eastAsia="zh-CN" w:bidi="ar"/>
              </w:rPr>
              <w:t>组装后采用多功能检测台进行性能检测，检测后</w:t>
            </w:r>
            <w:r>
              <w:rPr>
                <w:rFonts w:hint="eastAsia" w:ascii="Times New Roman" w:hAnsi="Times New Roman" w:eastAsia="宋体" w:cs="Times New Roman"/>
                <w:i w:val="0"/>
                <w:color w:val="auto"/>
                <w:kern w:val="0"/>
                <w:sz w:val="24"/>
                <w:szCs w:val="24"/>
                <w:u w:val="none"/>
                <w:lang w:val="en-US" w:eastAsia="zh-CN" w:bidi="ar"/>
              </w:rPr>
              <w:t>即为成品</w:t>
            </w:r>
            <w:r>
              <w:rPr>
                <w:rFonts w:hint="eastAsia" w:ascii="Times New Roman" w:hAnsi="Times New Roman" w:cs="Times New Roman"/>
                <w:i w:val="0"/>
                <w:color w:val="auto"/>
                <w:kern w:val="0"/>
                <w:sz w:val="24"/>
                <w:szCs w:val="24"/>
                <w:u w:val="none"/>
                <w:lang w:val="en-US" w:eastAsia="zh-CN" w:bidi="ar"/>
              </w:rPr>
              <w:t>。</w:t>
            </w:r>
          </w:p>
          <w:p>
            <w:pPr>
              <w:bidi w:val="0"/>
              <w:rPr>
                <w:rFonts w:hint="default" w:ascii="Times New Roman" w:hAnsi="Times New Roman" w:cs="Times New Roman"/>
                <w:b/>
                <w:bCs/>
                <w:i w:val="0"/>
                <w:color w:val="auto"/>
                <w:kern w:val="0"/>
                <w:sz w:val="24"/>
                <w:szCs w:val="24"/>
                <w:u w:val="none"/>
                <w:lang w:val="en-US" w:eastAsia="zh-CN" w:bidi="ar"/>
              </w:rPr>
            </w:pPr>
            <w:r>
              <w:rPr>
                <w:rFonts w:hint="eastAsia" w:cs="Times New Roman"/>
                <w:b/>
                <w:bCs/>
                <w:i w:val="0"/>
                <w:color w:val="auto"/>
                <w:kern w:val="0"/>
                <w:sz w:val="24"/>
                <w:szCs w:val="24"/>
                <w:u w:val="none"/>
                <w:lang w:val="en-US" w:eastAsia="zh-CN" w:bidi="ar"/>
              </w:rPr>
              <w:t>本工序产污节点主要为：生产过程产生的废包装物。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color w:val="auto"/>
              </w:rPr>
              <w:drawing>
                <wp:inline distT="0" distB="0" distL="114300" distR="114300">
                  <wp:extent cx="3641725" cy="1440180"/>
                  <wp:effectExtent l="0" t="0" r="1587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3641725" cy="1440180"/>
                          </a:xfrm>
                          <a:prstGeom prst="rect">
                            <a:avLst/>
                          </a:prstGeom>
                          <a:noFill/>
                          <a:ln>
                            <a:noFill/>
                          </a:ln>
                        </pic:spPr>
                      </pic:pic>
                    </a:graphicData>
                  </a:graphic>
                </wp:inline>
              </w:drawing>
            </w:r>
          </w:p>
          <w:p>
            <w:pPr>
              <w:pStyle w:val="31"/>
              <w:bidi w:val="0"/>
              <w:rPr>
                <w:rFonts w:hint="default"/>
                <w:color w:val="auto"/>
                <w:lang w:val="en-US" w:eastAsia="zh-CN"/>
              </w:rPr>
            </w:pPr>
            <w:r>
              <w:rPr>
                <w:rFonts w:hint="eastAsia"/>
                <w:color w:val="auto"/>
                <w:lang w:val="en-US" w:eastAsia="zh-CN"/>
              </w:rPr>
              <w:t>图5  节能速热电锅炉组装生产工艺流程图</w:t>
            </w:r>
          </w:p>
          <w:p>
            <w:pPr>
              <w:bidi w:val="0"/>
              <w:ind w:left="0" w:leftChars="0" w:firstLine="0" w:firstLineChars="0"/>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2、废气治理设施</w:t>
            </w:r>
          </w:p>
          <w:p>
            <w:pPr>
              <w:bidi w:val="0"/>
              <w:rPr>
                <w:rFonts w:hint="eastAsia"/>
                <w:color w:val="auto"/>
                <w:lang w:val="en-US" w:eastAsia="zh-CN"/>
              </w:rPr>
            </w:pPr>
            <w:r>
              <w:rPr>
                <w:rFonts w:hint="eastAsia"/>
                <w:color w:val="auto"/>
                <w:lang w:val="en-US" w:eastAsia="zh-CN"/>
              </w:rPr>
              <w:t>本项目建成后，石墨烯电发热膜生产线印刷、印刷烘干、覆膜过程产生的废气与石墨烯电发热体生产线烘干及烧结还原废气，采用风机引入1套两级活性炭吸附装置（TA002）进行处理，处理后与喷镀废气一起通过1根30m高排气筒（DA001）排放至大气中。本项目对现有烘干及烧结还原废气治理设施活性炭吸附装置进行提升改造，增大活性炭填装量及风机风量。喷镀废气治理方式不发生变化。</w:t>
            </w:r>
          </w:p>
          <w:p>
            <w:pPr>
              <w:bidi w:val="0"/>
              <w:rPr>
                <w:rFonts w:hint="default"/>
                <w:b/>
                <w:bCs/>
                <w:color w:val="auto"/>
                <w:lang w:val="en-US" w:eastAsia="zh-CN"/>
              </w:rPr>
            </w:pPr>
            <w:r>
              <w:rPr>
                <w:rFonts w:hint="eastAsia"/>
                <w:b/>
                <w:bCs/>
                <w:color w:val="auto"/>
                <w:lang w:val="en-US" w:eastAsia="zh-CN"/>
              </w:rPr>
              <w:t>废气治理设施产污节点主要为：风机运行产生的噪声；活性炭吸附装置定期更换的废活性炭。</w:t>
            </w:r>
          </w:p>
          <w:p>
            <w:pPr>
              <w:bidi w:val="0"/>
              <w:ind w:left="0" w:leftChars="0" w:firstLine="0" w:firstLineChars="0"/>
              <w:rPr>
                <w:rFonts w:hint="default"/>
                <w:b/>
                <w:bCs/>
                <w:color w:val="auto"/>
                <w:sz w:val="24"/>
                <w:szCs w:val="24"/>
                <w:highlight w:val="none"/>
              </w:rPr>
            </w:pPr>
            <w:r>
              <w:rPr>
                <w:rFonts w:hint="default"/>
                <w:b/>
                <w:bCs/>
                <w:color w:val="auto"/>
                <w:sz w:val="24"/>
                <w:szCs w:val="24"/>
                <w:highlight w:val="none"/>
              </w:rPr>
              <w:t>主要污染工序：</w:t>
            </w:r>
          </w:p>
          <w:p>
            <w:pPr>
              <w:bidi w:val="0"/>
              <w:rPr>
                <w:rFonts w:hint="default"/>
                <w:color w:val="auto"/>
              </w:rPr>
            </w:pPr>
            <w:r>
              <w:rPr>
                <w:rFonts w:hint="default"/>
                <w:color w:val="auto"/>
              </w:rPr>
              <w:t>（1）废气：</w:t>
            </w:r>
            <w:r>
              <w:rPr>
                <w:rFonts w:hint="eastAsia"/>
                <w:color w:val="auto"/>
                <w:lang w:val="en-US" w:eastAsia="zh-CN"/>
              </w:rPr>
              <w:t>本项目废气污染源主要</w:t>
            </w:r>
            <w:r>
              <w:rPr>
                <w:rFonts w:hint="default"/>
                <w:color w:val="auto"/>
              </w:rPr>
              <w:t>为</w:t>
            </w:r>
            <w:r>
              <w:rPr>
                <w:rFonts w:hint="eastAsia"/>
                <w:color w:val="auto"/>
                <w:lang w:val="en-US" w:eastAsia="zh-CN"/>
              </w:rPr>
              <w:t>印刷、印刷烘干、覆膜过程产生的废气；导电浆料混合分散过程产生的废气；PVC膜封边过程产生的废气</w:t>
            </w:r>
            <w:r>
              <w:rPr>
                <w:rFonts w:hint="default"/>
                <w:color w:val="auto"/>
              </w:rPr>
              <w:t>。</w:t>
            </w:r>
          </w:p>
          <w:p>
            <w:pPr>
              <w:bidi w:val="0"/>
              <w:rPr>
                <w:rFonts w:hint="default"/>
                <w:color w:val="auto"/>
                <w:sz w:val="24"/>
                <w:szCs w:val="24"/>
                <w:highlight w:val="none"/>
              </w:rPr>
            </w:pPr>
            <w:r>
              <w:rPr>
                <w:rFonts w:hint="default"/>
                <w:color w:val="auto"/>
                <w:sz w:val="24"/>
                <w:szCs w:val="24"/>
                <w:highlight w:val="none"/>
              </w:rPr>
              <w:t>（</w:t>
            </w:r>
            <w:r>
              <w:rPr>
                <w:rFonts w:hint="eastAsia"/>
                <w:color w:val="auto"/>
                <w:sz w:val="24"/>
                <w:szCs w:val="24"/>
                <w:highlight w:val="none"/>
                <w:lang w:val="en-US" w:eastAsia="zh-CN"/>
              </w:rPr>
              <w:t>2</w:t>
            </w:r>
            <w:r>
              <w:rPr>
                <w:rFonts w:hint="default"/>
                <w:color w:val="auto"/>
                <w:sz w:val="24"/>
                <w:szCs w:val="24"/>
                <w:highlight w:val="none"/>
              </w:rPr>
              <w:t>）噪声：</w:t>
            </w:r>
            <w:r>
              <w:rPr>
                <w:rFonts w:hint="eastAsia"/>
                <w:color w:val="auto"/>
                <w:sz w:val="24"/>
                <w:szCs w:val="24"/>
                <w:highlight w:val="none"/>
                <w:lang w:val="en-US" w:eastAsia="zh-CN"/>
              </w:rPr>
              <w:t>本项目噪声污染源</w:t>
            </w:r>
            <w:r>
              <w:rPr>
                <w:rFonts w:hint="default"/>
                <w:color w:val="auto"/>
                <w:sz w:val="24"/>
                <w:szCs w:val="24"/>
                <w:highlight w:val="none"/>
              </w:rPr>
              <w:t>主要为</w:t>
            </w:r>
            <w:r>
              <w:rPr>
                <w:rFonts w:hint="eastAsia"/>
                <w:color w:val="auto"/>
                <w:sz w:val="24"/>
                <w:szCs w:val="24"/>
                <w:highlight w:val="none"/>
                <w:lang w:val="en-US" w:eastAsia="zh-CN"/>
              </w:rPr>
              <w:t>设备</w:t>
            </w:r>
            <w:r>
              <w:rPr>
                <w:rFonts w:hint="default"/>
                <w:color w:val="auto"/>
                <w:sz w:val="24"/>
                <w:szCs w:val="24"/>
                <w:highlight w:val="none"/>
              </w:rPr>
              <w:t>运行产生的噪声。</w:t>
            </w:r>
          </w:p>
          <w:p>
            <w:pPr>
              <w:keepNext w:val="0"/>
              <w:keepLines w:val="0"/>
              <w:pageBreakBefore w:val="0"/>
              <w:widowControl w:val="0"/>
              <w:tabs>
                <w:tab w:val="left" w:pos="6310"/>
              </w:tabs>
              <w:kinsoku/>
              <w:wordWrap/>
              <w:overflowPunct/>
              <w:topLinePunct w:val="0"/>
              <w:autoSpaceDE/>
              <w:autoSpaceDN/>
              <w:bidi w:val="0"/>
              <w:spacing w:line="480" w:lineRule="exact"/>
              <w:ind w:right="0" w:rightChars="0" w:firstLine="480" w:firstLineChars="20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color w:val="auto"/>
                <w:sz w:val="24"/>
                <w:szCs w:val="24"/>
                <w:highlight w:val="none"/>
              </w:rPr>
              <w:t>（</w:t>
            </w:r>
            <w:r>
              <w:rPr>
                <w:rFonts w:hint="eastAsia"/>
                <w:color w:val="auto"/>
                <w:sz w:val="24"/>
                <w:szCs w:val="24"/>
                <w:highlight w:val="none"/>
                <w:lang w:val="en-US" w:eastAsia="zh-CN"/>
              </w:rPr>
              <w:t>3</w:t>
            </w:r>
            <w:r>
              <w:rPr>
                <w:rFonts w:hint="default"/>
                <w:color w:val="auto"/>
                <w:sz w:val="24"/>
                <w:szCs w:val="24"/>
                <w:highlight w:val="none"/>
              </w:rPr>
              <w:t>）固体废物：</w:t>
            </w:r>
            <w:r>
              <w:rPr>
                <w:rFonts w:hint="eastAsia"/>
                <w:color w:val="auto"/>
                <w:sz w:val="24"/>
                <w:szCs w:val="24"/>
                <w:highlight w:val="none"/>
                <w:lang w:val="en-US" w:eastAsia="zh-CN"/>
              </w:rPr>
              <w:t>本项目固体废物主要为生产过程产生的废包装物；裁切过程产生的PET膜边角料、PVC膜边角料；设备维护保养过程产生的废润滑油、废润滑油桶；生产过程中产生的</w:t>
            </w:r>
            <w:r>
              <w:rPr>
                <w:rFonts w:hint="eastAsia"/>
                <w:color w:val="auto"/>
                <w:lang w:val="en-US" w:eastAsia="zh-CN"/>
              </w:rPr>
              <w:t>废包装桶（导电浆料配制原料包装桶）；废气治理设施定期更换的废活性炭</w:t>
            </w:r>
            <w:r>
              <w:rPr>
                <w:rFonts w:hint="eastAsia"/>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0" w:type="dxa"/>
            <w:noWrap w:val="0"/>
            <w:vAlign w:val="center"/>
          </w:tcPr>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kern w:val="2"/>
                <w:sz w:val="24"/>
                <w:szCs w:val="24"/>
                <w:highlight w:val="none"/>
                <w:shd w:val="clear" w:color="auto" w:fill="auto"/>
              </w:rPr>
              <w:t>与项目有关的原有环境污染问题</w:t>
            </w:r>
          </w:p>
        </w:tc>
        <w:tc>
          <w:tcPr>
            <w:tcW w:w="8514" w:type="dxa"/>
            <w:noWrap w:val="0"/>
            <w:vAlign w:val="top"/>
          </w:tcPr>
          <w:p>
            <w:pPr>
              <w:adjustRightInd w:val="0"/>
              <w:snapToGrid w:val="0"/>
              <w:spacing w:line="480" w:lineRule="exact"/>
              <w:ind w:firstLine="480" w:firstLineChars="200"/>
              <w:rPr>
                <w:color w:val="auto"/>
                <w:kern w:val="0"/>
                <w:sz w:val="24"/>
                <w:highlight w:val="none"/>
                <w:lang w:val="zh-CN"/>
              </w:rPr>
            </w:pPr>
            <w:r>
              <w:rPr>
                <w:rFonts w:hint="eastAsia"/>
                <w:color w:val="auto"/>
                <w:sz w:val="24"/>
                <w:szCs w:val="24"/>
                <w:highlight w:val="none"/>
                <w:lang w:val="en-US" w:eastAsia="zh-CN"/>
              </w:rPr>
              <w:t>唐山烯彤科技有限公司位于唐山市高新区学院北路1718-1号，成立于2020年11月18日，于2020年03月实施了年产八万套石墨烯电发热元件及年产三千吨高性能等静压石墨项目，主要建设石墨烯电发热元件生产线和等静压石墨生产线，年产</w:t>
            </w:r>
            <w:r>
              <w:rPr>
                <w:rFonts w:hint="eastAsia" w:ascii="Times New Roman" w:hAnsi="Times New Roman" w:eastAsia="宋体"/>
                <w:color w:val="auto"/>
                <w:sz w:val="24"/>
                <w:szCs w:val="30"/>
              </w:rPr>
              <w:t>石墨烯电发热元件8万套、高性能等静压石墨3000t</w:t>
            </w:r>
            <w:r>
              <w:rPr>
                <w:rFonts w:hint="eastAsia"/>
                <w:color w:val="auto"/>
                <w:sz w:val="24"/>
                <w:szCs w:val="24"/>
                <w:highlight w:val="none"/>
                <w:lang w:val="en-US" w:eastAsia="zh-CN"/>
              </w:rPr>
              <w:t>。该项目于2020年03月09日取得唐山高新技术产业开发区行政审批局的审批意见（唐高行审环表[2020]4号），并于2020年11月06日进行了自主验收，并取得了专家签字的验收意见。企业于2020年11月17日进行了排污登记，取得固定污染源排污登记回执，登记编号：91130293MA0D04HWXG001X，有效期为2020年11月17日至2025年11月16日。</w:t>
            </w:r>
          </w:p>
          <w:p>
            <w:pPr>
              <w:numPr>
                <w:ilvl w:val="0"/>
                <w:numId w:val="0"/>
              </w:numPr>
              <w:ind w:leftChars="0"/>
              <w:rPr>
                <w:rFonts w:hint="default"/>
                <w:b/>
                <w:bCs/>
                <w:color w:val="auto"/>
                <w:highlight w:val="none"/>
                <w:lang w:val="en-US" w:eastAsia="zh-CN"/>
              </w:rPr>
            </w:pPr>
            <w:r>
              <w:rPr>
                <w:rFonts w:hint="eastAsia"/>
                <w:b/>
                <w:bCs/>
                <w:color w:val="auto"/>
                <w:highlight w:val="none"/>
                <w:lang w:val="en-US" w:eastAsia="zh-CN"/>
              </w:rPr>
              <w:t>1、现有工程污染物排放情况</w:t>
            </w:r>
          </w:p>
          <w:p>
            <w:pPr>
              <w:bidi w:val="0"/>
              <w:rPr>
                <w:rFonts w:hint="eastAsia" w:ascii="Times New Roman"/>
                <w:snapToGrid w:val="0"/>
                <w:color w:val="auto"/>
                <w:spacing w:val="0"/>
                <w:sz w:val="24"/>
                <w:szCs w:val="24"/>
                <w:highlight w:val="none"/>
                <w:lang w:val="en-US" w:eastAsia="zh-CN"/>
              </w:rPr>
            </w:pPr>
            <w:r>
              <w:rPr>
                <w:rFonts w:hint="eastAsia"/>
                <w:snapToGrid w:val="0"/>
                <w:color w:val="auto"/>
                <w:spacing w:val="0"/>
                <w:sz w:val="24"/>
                <w:szCs w:val="24"/>
                <w:highlight w:val="none"/>
                <w:lang w:val="en-US" w:eastAsia="zh-CN"/>
              </w:rPr>
              <w:t>（1）废气</w:t>
            </w:r>
          </w:p>
          <w:p>
            <w:pPr>
              <w:bidi w:val="0"/>
              <w:ind w:firstLine="480" w:firstLineChars="200"/>
              <w:rPr>
                <w:rFonts w:hint="default"/>
                <w:color w:val="auto"/>
                <w:highlight w:val="none"/>
                <w:lang w:val="en-US" w:eastAsia="zh-CN"/>
              </w:rPr>
            </w:pPr>
            <w:r>
              <w:rPr>
                <w:rFonts w:hint="eastAsia"/>
                <w:color w:val="auto"/>
                <w:highlight w:val="none"/>
                <w:lang w:val="en-US" w:eastAsia="zh-CN"/>
              </w:rPr>
              <w:t>现有工程废气污染源主要为镀膜过程产生的废气、银浆电极烘干和烧结还原过程产生的废气。</w:t>
            </w:r>
          </w:p>
          <w:p>
            <w:pPr>
              <w:bidi w:val="0"/>
              <w:ind w:firstLine="480" w:firstLineChars="200"/>
              <w:rPr>
                <w:rFonts w:hint="default"/>
                <w:color w:val="auto"/>
                <w:highlight w:val="none"/>
                <w:lang w:val="en-US" w:eastAsia="zh-CN"/>
              </w:rPr>
            </w:pPr>
            <w:r>
              <w:rPr>
                <w:rFonts w:hint="eastAsia"/>
                <w:color w:val="auto"/>
                <w:highlight w:val="none"/>
                <w:lang w:val="en-US" w:eastAsia="zh-CN"/>
              </w:rPr>
              <w:t>①有组织废气</w:t>
            </w:r>
          </w:p>
          <w:p>
            <w:pPr>
              <w:bidi w:val="0"/>
              <w:rPr>
                <w:rFonts w:hint="eastAsia"/>
                <w:color w:val="auto"/>
                <w:highlight w:val="none"/>
                <w:lang w:val="en-US" w:eastAsia="zh-CN"/>
              </w:rPr>
            </w:pPr>
            <w:r>
              <w:rPr>
                <w:rFonts w:hint="eastAsia"/>
                <w:color w:val="auto"/>
                <w:lang w:val="en-US" w:eastAsia="zh-CN"/>
              </w:rPr>
              <w:t>河北合利环境检测服务有限公司于2020年09月16日-17日对唐山烯彤科技有限公司年产八万套石墨烯电发热元件及年产三千吨高性能等静压石墨项目进行了验收监测，并于2020年11月05日出具了检测报告（报告编号：HHJC2020Y028），唐山烯彤科技有限公司现有工程</w:t>
            </w:r>
            <w:r>
              <w:rPr>
                <w:rFonts w:hint="eastAsia"/>
                <w:color w:val="auto"/>
                <w:highlight w:val="none"/>
                <w:lang w:val="en-US" w:eastAsia="zh-CN"/>
              </w:rPr>
              <w:t>有组织废气产生、处理及达标排放情况见下表。</w:t>
            </w:r>
          </w:p>
          <w:p>
            <w:pPr>
              <w:bidi w:val="0"/>
              <w:rPr>
                <w:rFonts w:hint="eastAsia"/>
                <w:color w:val="auto"/>
                <w:highlight w:val="none"/>
                <w:lang w:val="en-US" w:eastAsia="zh-CN"/>
              </w:rPr>
            </w:pPr>
          </w:p>
          <w:p>
            <w:pPr>
              <w:bidi w:val="0"/>
              <w:rPr>
                <w:rFonts w:hint="eastAsia"/>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tc>
      </w:tr>
    </w:tbl>
    <w:p>
      <w:pPr>
        <w:rPr>
          <w:rFonts w:hint="eastAsia" w:ascii="黑体" w:hAnsi="黑体" w:eastAsia="黑体" w:cs="Times New Roman"/>
          <w:snapToGrid w:val="0"/>
          <w:color w:val="auto"/>
          <w:sz w:val="30"/>
          <w:szCs w:val="30"/>
          <w:highlight w:val="none"/>
        </w:rPr>
        <w:sectPr>
          <w:footerReference r:id="rId10" w:type="default"/>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tcBorders>
              <w:top w:val="single" w:color="auto" w:sz="8" w:space="0"/>
              <w:left w:val="single" w:color="auto" w:sz="8" w:space="0"/>
              <w:bottom w:val="single" w:color="auto" w:sz="8" w:space="0"/>
            </w:tcBorders>
            <w:vAlign w:val="top"/>
          </w:tcPr>
          <w:p>
            <w:pPr>
              <w:rPr>
                <w:rFonts w:hint="eastAsia" w:ascii="黑体" w:hAnsi="黑体" w:eastAsia="黑体" w:cs="Times New Roman"/>
                <w:snapToGrid w:val="0"/>
                <w:color w:val="auto"/>
                <w:sz w:val="30"/>
                <w:szCs w:val="30"/>
                <w:highlight w:val="none"/>
                <w:vertAlign w:val="baseline"/>
              </w:rPr>
            </w:pPr>
          </w:p>
        </w:tc>
        <w:tc>
          <w:tcPr>
            <w:tcW w:w="13055" w:type="dxa"/>
            <w:tcBorders>
              <w:top w:val="single" w:color="auto" w:sz="8" w:space="0"/>
              <w:bottom w:val="single" w:color="auto" w:sz="8" w:space="0"/>
              <w:right w:val="single" w:color="auto" w:sz="8" w:space="0"/>
            </w:tcBorders>
            <w:vAlign w:val="top"/>
          </w:tcPr>
          <w:p>
            <w:pPr>
              <w:pStyle w:val="12"/>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0" w:firstLineChars="0"/>
              <w:jc w:val="center"/>
              <w:textAlignment w:val="auto"/>
              <w:rPr>
                <w:rFonts w:hint="eastAsia" w:eastAsia="宋体"/>
                <w:color w:val="auto"/>
                <w:highlight w:val="none"/>
                <w:lang w:val="en-US" w:eastAsia="zh-CN"/>
              </w:rPr>
            </w:pPr>
            <w:r>
              <w:rPr>
                <w:rFonts w:eastAsia="宋体"/>
                <w:b/>
                <w:color w:val="auto"/>
                <w:spacing w:val="0"/>
                <w:sz w:val="21"/>
                <w:szCs w:val="21"/>
                <w:highlight w:val="none"/>
              </w:rPr>
              <w:t>表</w:t>
            </w:r>
            <w:r>
              <w:rPr>
                <w:rFonts w:hint="eastAsia"/>
                <w:b/>
                <w:color w:val="auto"/>
                <w:spacing w:val="0"/>
                <w:sz w:val="21"/>
                <w:szCs w:val="21"/>
                <w:highlight w:val="none"/>
                <w:lang w:val="en-US" w:eastAsia="zh-CN"/>
              </w:rPr>
              <w:t xml:space="preserve">19  </w:t>
            </w:r>
            <w:r>
              <w:rPr>
                <w:rFonts w:eastAsia="宋体"/>
                <w:b/>
                <w:color w:val="auto"/>
                <w:spacing w:val="0"/>
                <w:sz w:val="21"/>
                <w:szCs w:val="21"/>
                <w:highlight w:val="none"/>
              </w:rPr>
              <w:t>现有工程</w:t>
            </w:r>
            <w:r>
              <w:rPr>
                <w:rFonts w:hint="eastAsia" w:eastAsia="宋体"/>
                <w:b/>
                <w:color w:val="auto"/>
                <w:spacing w:val="0"/>
                <w:sz w:val="21"/>
                <w:szCs w:val="21"/>
                <w:highlight w:val="none"/>
                <w:lang w:eastAsia="zh-CN"/>
              </w:rPr>
              <w:t>有组织</w:t>
            </w:r>
            <w:r>
              <w:rPr>
                <w:rFonts w:eastAsia="宋体"/>
                <w:b/>
                <w:color w:val="auto"/>
                <w:spacing w:val="0"/>
                <w:sz w:val="21"/>
                <w:szCs w:val="21"/>
                <w:highlight w:val="none"/>
              </w:rPr>
              <w:t>废气产生、处理及达标排放情况</w:t>
            </w:r>
            <w:r>
              <w:rPr>
                <w:rFonts w:hint="eastAsia"/>
                <w:b/>
                <w:color w:val="auto"/>
                <w:spacing w:val="0"/>
                <w:sz w:val="21"/>
                <w:szCs w:val="21"/>
                <w:highlight w:val="none"/>
                <w:lang w:val="en-US" w:eastAsia="zh-CN"/>
              </w:rPr>
              <w:t>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35"/>
              <w:gridCol w:w="853"/>
              <w:gridCol w:w="548"/>
              <w:gridCol w:w="1594"/>
              <w:gridCol w:w="1229"/>
              <w:gridCol w:w="519"/>
              <w:gridCol w:w="616"/>
              <w:gridCol w:w="939"/>
              <w:gridCol w:w="595"/>
              <w:gridCol w:w="882"/>
              <w:gridCol w:w="1328"/>
              <w:gridCol w:w="1247"/>
              <w:gridCol w:w="822"/>
              <w:gridCol w:w="869"/>
              <w:gridCol w:w="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205"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类型</w:t>
                  </w:r>
                </w:p>
              </w:tc>
              <w:tc>
                <w:tcPr>
                  <w:tcW w:w="327" w:type="pct"/>
                  <w:vMerge w:val="restart"/>
                  <w:tcBorders>
                    <w:tl2br w:val="nil"/>
                    <w:tr2bl w:val="nil"/>
                  </w:tcBorders>
                  <w:noWrap w:val="0"/>
                  <w:vAlign w:val="center"/>
                </w:tcPr>
                <w:p>
                  <w:pPr>
                    <w:pStyle w:val="53"/>
                    <w:keepNext w:val="0"/>
                    <w:keepLines w:val="0"/>
                    <w:pageBreakBefore w:val="0"/>
                    <w:widowControl w:val="0"/>
                    <w:tabs>
                      <w:tab w:val="left" w:pos="1620"/>
                    </w:tabs>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污染源</w:t>
                  </w:r>
                </w:p>
              </w:tc>
              <w:tc>
                <w:tcPr>
                  <w:tcW w:w="210"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r>
                    <w:rPr>
                      <w:rFonts w:eastAsia="宋体"/>
                      <w:snapToGrid w:val="0"/>
                      <w:color w:val="auto"/>
                      <w:spacing w:val="0"/>
                      <w:sz w:val="21"/>
                      <w:szCs w:val="21"/>
                      <w:highlight w:val="none"/>
                    </w:rPr>
                    <w:t>主要污染因子</w:t>
                  </w:r>
                </w:p>
              </w:tc>
              <w:tc>
                <w:tcPr>
                  <w:tcW w:w="1082" w:type="pct"/>
                  <w:gridSpan w:val="2"/>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r>
                    <w:rPr>
                      <w:rFonts w:eastAsia="宋体"/>
                      <w:snapToGrid w:val="0"/>
                      <w:color w:val="auto"/>
                      <w:spacing w:val="0"/>
                      <w:sz w:val="21"/>
                      <w:szCs w:val="21"/>
                      <w:highlight w:val="none"/>
                    </w:rPr>
                    <w:t>治理措施</w:t>
                  </w:r>
                </w:p>
              </w:tc>
              <w:tc>
                <w:tcPr>
                  <w:tcW w:w="1870" w:type="pct"/>
                  <w:gridSpan w:val="6"/>
                  <w:tcBorders>
                    <w:tl2br w:val="nil"/>
                    <w:tr2bl w:val="nil"/>
                  </w:tcBorders>
                  <w:noWrap w:val="0"/>
                  <w:vAlign w:val="center"/>
                </w:tcPr>
                <w:p>
                  <w:pPr>
                    <w:pStyle w:val="53"/>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排放情况</w:t>
                  </w:r>
                </w:p>
              </w:tc>
              <w:tc>
                <w:tcPr>
                  <w:tcW w:w="1126" w:type="pct"/>
                  <w:gridSpan w:val="3"/>
                  <w:tcBorders>
                    <w:tl2br w:val="nil"/>
                    <w:tr2bl w:val="nil"/>
                  </w:tcBorders>
                  <w:noWrap w:val="0"/>
                  <w:vAlign w:val="center"/>
                </w:tcPr>
                <w:p>
                  <w:pPr>
                    <w:pStyle w:val="53"/>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排放要求</w:t>
                  </w:r>
                </w:p>
              </w:tc>
              <w:tc>
                <w:tcPr>
                  <w:tcW w:w="177"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205"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p>
              </w:tc>
              <w:tc>
                <w:tcPr>
                  <w:tcW w:w="327" w:type="pct"/>
                  <w:vMerge w:val="continue"/>
                  <w:tcBorders>
                    <w:tl2br w:val="nil"/>
                    <w:tr2bl w:val="nil"/>
                  </w:tcBorders>
                  <w:noWrap w:val="0"/>
                  <w:vAlign w:val="center"/>
                </w:tcPr>
                <w:p>
                  <w:pPr>
                    <w:pStyle w:val="53"/>
                    <w:keepNext w:val="0"/>
                    <w:keepLines w:val="0"/>
                    <w:pageBreakBefore w:val="0"/>
                    <w:widowControl w:val="0"/>
                    <w:tabs>
                      <w:tab w:val="left" w:pos="1620"/>
                    </w:tabs>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p>
              </w:tc>
              <w:tc>
                <w:tcPr>
                  <w:tcW w:w="210"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p>
              </w:tc>
              <w:tc>
                <w:tcPr>
                  <w:tcW w:w="1082" w:type="pct"/>
                  <w:gridSpan w:val="2"/>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p>
              </w:tc>
              <w:tc>
                <w:tcPr>
                  <w:tcW w:w="435" w:type="pct"/>
                  <w:gridSpan w:val="2"/>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eastAsia" w:eastAsia="宋体"/>
                      <w:color w:val="auto"/>
                      <w:spacing w:val="0"/>
                      <w:sz w:val="21"/>
                      <w:szCs w:val="21"/>
                      <w:highlight w:val="none"/>
                      <w:lang w:val="en-US" w:eastAsia="zh-CN"/>
                    </w:rPr>
                  </w:pPr>
                  <w:r>
                    <w:rPr>
                      <w:rFonts w:eastAsia="宋体"/>
                      <w:color w:val="auto"/>
                      <w:spacing w:val="0"/>
                      <w:sz w:val="21"/>
                      <w:szCs w:val="21"/>
                      <w:highlight w:val="none"/>
                    </w:rPr>
                    <w:t>排放浓度</w:t>
                  </w:r>
                  <w:r>
                    <w:rPr>
                      <w:rFonts w:hint="eastAsia"/>
                      <w:color w:val="auto"/>
                      <w:spacing w:val="0"/>
                      <w:sz w:val="21"/>
                      <w:szCs w:val="21"/>
                      <w:highlight w:val="none"/>
                      <w:lang w:eastAsia="zh-CN"/>
                    </w:rPr>
                    <w:t>（</w:t>
                  </w:r>
                  <w:r>
                    <w:rPr>
                      <w:rFonts w:eastAsia="宋体"/>
                      <w:color w:val="auto"/>
                      <w:spacing w:val="0"/>
                      <w:sz w:val="21"/>
                      <w:szCs w:val="21"/>
                      <w:highlight w:val="none"/>
                    </w:rPr>
                    <w:t>mg/m</w:t>
                  </w:r>
                  <w:r>
                    <w:rPr>
                      <w:rFonts w:eastAsia="宋体"/>
                      <w:color w:val="auto"/>
                      <w:spacing w:val="0"/>
                      <w:sz w:val="21"/>
                      <w:szCs w:val="21"/>
                      <w:highlight w:val="none"/>
                      <w:vertAlign w:val="superscript"/>
                    </w:rPr>
                    <w:t>3</w:t>
                  </w:r>
                  <w:r>
                    <w:rPr>
                      <w:rFonts w:hint="eastAsia"/>
                      <w:color w:val="auto"/>
                      <w:spacing w:val="0"/>
                      <w:sz w:val="21"/>
                      <w:szCs w:val="21"/>
                      <w:highlight w:val="none"/>
                      <w:lang w:eastAsia="zh-CN"/>
                    </w:rPr>
                    <w:t>）</w:t>
                  </w:r>
                </w:p>
              </w:tc>
              <w:tc>
                <w:tcPr>
                  <w:tcW w:w="36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eastAsia="宋体"/>
                      <w:color w:val="auto"/>
                      <w:spacing w:val="0"/>
                      <w:sz w:val="21"/>
                      <w:szCs w:val="21"/>
                      <w:highlight w:val="none"/>
                    </w:rPr>
                  </w:pPr>
                  <w:r>
                    <w:rPr>
                      <w:rFonts w:eastAsia="宋体"/>
                      <w:color w:val="auto"/>
                      <w:spacing w:val="0"/>
                      <w:sz w:val="21"/>
                      <w:szCs w:val="21"/>
                      <w:highlight w:val="none"/>
                    </w:rPr>
                    <w:t>排放速率</w:t>
                  </w:r>
                  <w:r>
                    <w:rPr>
                      <w:rFonts w:hint="eastAsia"/>
                      <w:color w:val="auto"/>
                      <w:spacing w:val="0"/>
                      <w:sz w:val="21"/>
                      <w:szCs w:val="21"/>
                      <w:highlight w:val="none"/>
                      <w:lang w:eastAsia="zh-CN"/>
                    </w:rPr>
                    <w:t>（</w:t>
                  </w:r>
                  <w:r>
                    <w:rPr>
                      <w:rFonts w:eastAsia="宋体"/>
                      <w:color w:val="auto"/>
                      <w:spacing w:val="0"/>
                      <w:sz w:val="21"/>
                      <w:szCs w:val="21"/>
                      <w:highlight w:val="none"/>
                    </w:rPr>
                    <w:t>kg/h</w:t>
                  </w:r>
                  <w:r>
                    <w:rPr>
                      <w:rFonts w:hint="eastAsia"/>
                      <w:color w:val="auto"/>
                      <w:spacing w:val="0"/>
                      <w:sz w:val="21"/>
                      <w:szCs w:val="21"/>
                      <w:highlight w:val="none"/>
                      <w:lang w:eastAsia="zh-CN"/>
                    </w:rPr>
                    <w:t>）</w:t>
                  </w:r>
                </w:p>
              </w:tc>
              <w:tc>
                <w:tcPr>
                  <w:tcW w:w="228"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eastAsia" w:eastAsia="宋体"/>
                      <w:color w:val="auto"/>
                      <w:spacing w:val="0"/>
                      <w:sz w:val="21"/>
                      <w:szCs w:val="21"/>
                      <w:highlight w:val="none"/>
                      <w:lang w:val="en-US" w:eastAsia="zh-CN"/>
                    </w:rPr>
                  </w:pPr>
                  <w:r>
                    <w:rPr>
                      <w:rFonts w:hint="eastAsia"/>
                      <w:color w:val="auto"/>
                      <w:spacing w:val="0"/>
                      <w:sz w:val="21"/>
                      <w:szCs w:val="21"/>
                      <w:highlight w:val="none"/>
                      <w:lang w:val="en-US" w:eastAsia="zh-CN"/>
                    </w:rPr>
                    <w:t>检测工况</w:t>
                  </w:r>
                </w:p>
              </w:tc>
              <w:tc>
                <w:tcPr>
                  <w:tcW w:w="338"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eastAsia" w:eastAsia="宋体"/>
                      <w:color w:val="auto"/>
                      <w:spacing w:val="0"/>
                      <w:sz w:val="21"/>
                      <w:szCs w:val="21"/>
                      <w:highlight w:val="none"/>
                      <w:lang w:val="en-US" w:eastAsia="zh-CN"/>
                    </w:rPr>
                  </w:pPr>
                  <w:r>
                    <w:rPr>
                      <w:rFonts w:hint="eastAsia"/>
                      <w:color w:val="auto"/>
                      <w:spacing w:val="0"/>
                      <w:sz w:val="21"/>
                      <w:szCs w:val="21"/>
                      <w:highlight w:val="none"/>
                      <w:lang w:val="en-US" w:eastAsia="zh-CN"/>
                    </w:rPr>
                    <w:t>运行时间（h/a）</w:t>
                  </w:r>
                </w:p>
              </w:tc>
              <w:tc>
                <w:tcPr>
                  <w:tcW w:w="506"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折算为满负荷工况下年排放量（t/a）</w:t>
                  </w:r>
                </w:p>
              </w:tc>
              <w:tc>
                <w:tcPr>
                  <w:tcW w:w="478"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eastAsia" w:eastAsia="宋体"/>
                      <w:color w:val="auto"/>
                      <w:spacing w:val="0"/>
                      <w:sz w:val="21"/>
                      <w:szCs w:val="21"/>
                      <w:highlight w:val="none"/>
                      <w:lang w:eastAsia="zh-CN"/>
                    </w:rPr>
                  </w:pPr>
                  <w:r>
                    <w:rPr>
                      <w:rFonts w:hint="eastAsia"/>
                      <w:color w:val="auto"/>
                      <w:spacing w:val="0"/>
                      <w:sz w:val="21"/>
                      <w:szCs w:val="21"/>
                      <w:highlight w:val="none"/>
                      <w:lang w:val="en-US" w:eastAsia="zh-CN"/>
                    </w:rPr>
                    <w:t>执行标准</w:t>
                  </w: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ascii="Times New Roman" w:hAnsi="Times New Roman" w:eastAsia="宋体" w:cs="Times New Roman"/>
                      <w:color w:val="auto"/>
                      <w:spacing w:val="0"/>
                      <w:kern w:val="2"/>
                      <w:sz w:val="21"/>
                      <w:szCs w:val="21"/>
                      <w:highlight w:val="none"/>
                      <w:lang w:val="en-US" w:eastAsia="zh-CN" w:bidi="ar-SA"/>
                    </w:rPr>
                  </w:pPr>
                  <w:r>
                    <w:rPr>
                      <w:rFonts w:eastAsia="宋体"/>
                      <w:color w:val="auto"/>
                      <w:spacing w:val="0"/>
                      <w:sz w:val="21"/>
                      <w:szCs w:val="21"/>
                      <w:highlight w:val="none"/>
                    </w:rPr>
                    <w:t>排放限值</w:t>
                  </w:r>
                </w:p>
              </w:tc>
              <w:tc>
                <w:tcPr>
                  <w:tcW w:w="333"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eastAsia="宋体"/>
                      <w:color w:val="auto"/>
                      <w:spacing w:val="0"/>
                      <w:sz w:val="21"/>
                      <w:szCs w:val="21"/>
                      <w:highlight w:val="none"/>
                      <w:lang w:val="en-US" w:eastAsia="zh-CN"/>
                    </w:rPr>
                  </w:pPr>
                  <w:r>
                    <w:rPr>
                      <w:rFonts w:hint="eastAsia"/>
                      <w:color w:val="auto"/>
                      <w:spacing w:val="0"/>
                      <w:sz w:val="21"/>
                      <w:szCs w:val="21"/>
                      <w:highlight w:val="none"/>
                      <w:lang w:val="en-US" w:eastAsia="zh-CN"/>
                    </w:rPr>
                    <w:t>总量控制指标（t/a）</w:t>
                  </w:r>
                </w:p>
              </w:tc>
              <w:tc>
                <w:tcPr>
                  <w:tcW w:w="177"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eastAsia="宋体"/>
                      <w:color w:val="auto"/>
                      <w:spacing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205"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eastAsia" w:eastAsia="宋体"/>
                      <w:color w:val="auto"/>
                      <w:spacing w:val="0"/>
                      <w:sz w:val="21"/>
                      <w:szCs w:val="21"/>
                      <w:highlight w:val="none"/>
                      <w:lang w:val="en-US" w:eastAsia="zh-CN"/>
                    </w:rPr>
                  </w:pPr>
                  <w:r>
                    <w:rPr>
                      <w:rFonts w:hint="eastAsia" w:eastAsia="宋体"/>
                      <w:color w:val="auto"/>
                      <w:spacing w:val="0"/>
                      <w:sz w:val="21"/>
                      <w:szCs w:val="21"/>
                      <w:highlight w:val="none"/>
                      <w:lang w:val="en-US" w:eastAsia="zh-CN"/>
                    </w:rPr>
                    <w:t>废气</w:t>
                  </w:r>
                </w:p>
              </w:tc>
              <w:tc>
                <w:tcPr>
                  <w:tcW w:w="327" w:type="pct"/>
                  <w:vMerge w:val="restart"/>
                  <w:tcBorders>
                    <w:tl2br w:val="nil"/>
                    <w:tr2bl w:val="nil"/>
                  </w:tcBorders>
                  <w:noWrap w:val="0"/>
                  <w:vAlign w:val="center"/>
                </w:tcPr>
                <w:p>
                  <w:pPr>
                    <w:pStyle w:val="35"/>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镀膜过程</w:t>
                  </w:r>
                </w:p>
              </w:tc>
              <w:tc>
                <w:tcPr>
                  <w:tcW w:w="21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eastAsia="宋体"/>
                      <w:color w:val="auto"/>
                      <w:spacing w:val="0"/>
                      <w:sz w:val="21"/>
                      <w:szCs w:val="21"/>
                      <w:highlight w:val="none"/>
                      <w:lang w:val="en-US" w:eastAsia="zh-CN"/>
                    </w:rPr>
                  </w:pPr>
                  <w:r>
                    <w:rPr>
                      <w:rFonts w:hint="eastAsia"/>
                      <w:color w:val="auto"/>
                      <w:spacing w:val="0"/>
                      <w:sz w:val="21"/>
                      <w:szCs w:val="21"/>
                      <w:highlight w:val="none"/>
                      <w:lang w:val="en-US" w:eastAsia="zh-CN"/>
                    </w:rPr>
                    <w:t>氟化物</w:t>
                  </w:r>
                </w:p>
              </w:tc>
              <w:tc>
                <w:tcPr>
                  <w:tcW w:w="611" w:type="pct"/>
                  <w:vMerge w:val="restart"/>
                  <w:tcBorders>
                    <w:tl2br w:val="nil"/>
                    <w:tr2bl w:val="nil"/>
                  </w:tcBorders>
                  <w:noWrap w:val="0"/>
                  <w:vAlign w:val="center"/>
                </w:tcPr>
                <w:p>
                  <w:pPr>
                    <w:pStyle w:val="35"/>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eastAsia="宋体"/>
                      <w:color w:val="auto"/>
                      <w:spacing w:val="0"/>
                      <w:sz w:val="21"/>
                      <w:szCs w:val="21"/>
                      <w:highlight w:val="none"/>
                      <w:lang w:val="en-US" w:eastAsia="zh-CN"/>
                    </w:rPr>
                  </w:pPr>
                  <w:r>
                    <w:rPr>
                      <w:rFonts w:hint="default" w:eastAsia="宋体"/>
                      <w:color w:val="auto"/>
                      <w:spacing w:val="0"/>
                      <w:sz w:val="21"/>
                      <w:szCs w:val="21"/>
                      <w:highlight w:val="none"/>
                      <w:lang w:val="en-US"/>
                    </w:rPr>
                    <w:t>镀膜机采取封闭措施，并在设备上方设置引风管道，通过风机将废气引入1套三级串联的碱液喷淋塔进行净化处理</w:t>
                  </w:r>
                </w:p>
              </w:tc>
              <w:tc>
                <w:tcPr>
                  <w:tcW w:w="471" w:type="pct"/>
                  <w:vMerge w:val="restart"/>
                  <w:tcBorders>
                    <w:tl2br w:val="nil"/>
                    <w:tr2bl w:val="nil"/>
                  </w:tcBorders>
                  <w:noWrap w:val="0"/>
                  <w:vAlign w:val="center"/>
                </w:tcPr>
                <w:p>
                  <w:pPr>
                    <w:pStyle w:val="35"/>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sz w:val="21"/>
                      <w:szCs w:val="21"/>
                      <w:highlight w:val="none"/>
                      <w:lang w:val="en-US"/>
                    </w:rPr>
                  </w:pPr>
                  <w:r>
                    <w:rPr>
                      <w:rFonts w:hint="eastAsia"/>
                      <w:color w:val="auto"/>
                      <w:spacing w:val="0"/>
                      <w:sz w:val="21"/>
                      <w:szCs w:val="21"/>
                      <w:highlight w:val="none"/>
                      <w:lang w:val="en-US" w:eastAsia="zh-CN"/>
                    </w:rPr>
                    <w:t>镀膜废气与烘干、烧结还原过程废气经净化处理后共用1根30m高气筒排放</w:t>
                  </w:r>
                </w:p>
              </w:tc>
              <w:tc>
                <w:tcPr>
                  <w:tcW w:w="435" w:type="pct"/>
                  <w:gridSpan w:val="2"/>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1.32</w:t>
                  </w:r>
                </w:p>
              </w:tc>
              <w:tc>
                <w:tcPr>
                  <w:tcW w:w="36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0.00163</w:t>
                  </w:r>
                </w:p>
              </w:tc>
              <w:tc>
                <w:tcPr>
                  <w:tcW w:w="228"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85%</w:t>
                  </w:r>
                </w:p>
              </w:tc>
              <w:tc>
                <w:tcPr>
                  <w:tcW w:w="338"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2400</w:t>
                  </w:r>
                </w:p>
              </w:tc>
              <w:tc>
                <w:tcPr>
                  <w:tcW w:w="506"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0.0046</w:t>
                  </w:r>
                </w:p>
              </w:tc>
              <w:tc>
                <w:tcPr>
                  <w:tcW w:w="478" w:type="pct"/>
                  <w:vMerge w:val="restart"/>
                  <w:tcBorders>
                    <w:tl2br w:val="nil"/>
                    <w:tr2bl w:val="nil"/>
                  </w:tcBorders>
                  <w:noWrap w:val="0"/>
                  <w:vAlign w:val="center"/>
                </w:tcPr>
                <w:p>
                  <w:pPr>
                    <w:keepNext w:val="0"/>
                    <w:keepLines w:val="0"/>
                    <w:pageBreakBefore w:val="0"/>
                    <w:widowControl w:val="0"/>
                    <w:kinsoku/>
                    <w:wordWrap w:val="0"/>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《电子工业污染物排放标准（二次征求意见稿）》（环境保护部办公厅 环办标征函[2018]11号）表5大气污染物特别排放限值</w:t>
                  </w:r>
                </w:p>
              </w:tc>
              <w:tc>
                <w:tcPr>
                  <w:tcW w:w="315"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3mg/m</w:t>
                  </w:r>
                  <w:r>
                    <w:rPr>
                      <w:rFonts w:hint="eastAsia" w:cs="Times New Roman"/>
                      <w:b w:val="0"/>
                      <w:bCs w:val="0"/>
                      <w:color w:val="auto"/>
                      <w:spacing w:val="0"/>
                      <w:kern w:val="2"/>
                      <w:sz w:val="21"/>
                      <w:szCs w:val="21"/>
                      <w:highlight w:val="none"/>
                      <w:vertAlign w:val="superscript"/>
                      <w:lang w:val="en-US" w:eastAsia="zh-CN" w:bidi="ar-SA"/>
                    </w:rPr>
                    <w:t>3</w:t>
                  </w:r>
                </w:p>
              </w:tc>
              <w:tc>
                <w:tcPr>
                  <w:tcW w:w="333"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eastAsia="宋体"/>
                      <w:color w:val="auto"/>
                      <w:spacing w:val="0"/>
                      <w:kern w:val="2"/>
                      <w:sz w:val="21"/>
                      <w:szCs w:val="21"/>
                      <w:highlight w:val="none"/>
                      <w:lang w:val="en-US" w:eastAsia="zh-CN" w:bidi="ar-SA"/>
                    </w:rPr>
                  </w:pPr>
                  <w:r>
                    <w:rPr>
                      <w:rFonts w:hint="eastAsia"/>
                      <w:color w:val="auto"/>
                      <w:spacing w:val="0"/>
                      <w:kern w:val="2"/>
                      <w:sz w:val="21"/>
                      <w:szCs w:val="21"/>
                      <w:highlight w:val="none"/>
                      <w:lang w:val="en-US" w:eastAsia="zh-CN" w:bidi="ar-SA"/>
                    </w:rPr>
                    <w:t>0.013</w:t>
                  </w:r>
                </w:p>
              </w:tc>
              <w:tc>
                <w:tcPr>
                  <w:tcW w:w="177"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eastAsia="宋体"/>
                      <w:color w:val="auto"/>
                      <w:spacing w:val="0"/>
                      <w:sz w:val="21"/>
                      <w:szCs w:val="21"/>
                      <w:highlight w:val="none"/>
                      <w:lang w:val="en-US" w:eastAsia="zh-CN"/>
                    </w:rPr>
                  </w:pPr>
                  <w:r>
                    <w:rPr>
                      <w:rFonts w:hint="eastAsia"/>
                      <w:color w:val="auto"/>
                      <w:spacing w:val="0"/>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205"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auto"/>
                    </w:rPr>
                  </w:pPr>
                </w:p>
              </w:tc>
              <w:tc>
                <w:tcPr>
                  <w:tcW w:w="327"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color w:val="auto"/>
                    </w:rPr>
                  </w:pPr>
                </w:p>
              </w:tc>
              <w:tc>
                <w:tcPr>
                  <w:tcW w:w="21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氯化氢</w:t>
                  </w:r>
                </w:p>
              </w:tc>
              <w:tc>
                <w:tcPr>
                  <w:tcW w:w="611"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471"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435" w:type="pct"/>
                  <w:gridSpan w:val="2"/>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9.59</w:t>
                  </w:r>
                </w:p>
              </w:tc>
              <w:tc>
                <w:tcPr>
                  <w:tcW w:w="36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0.0119</w:t>
                  </w:r>
                </w:p>
              </w:tc>
              <w:tc>
                <w:tcPr>
                  <w:tcW w:w="22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3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506"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0.034</w:t>
                  </w:r>
                </w:p>
              </w:tc>
              <w:tc>
                <w:tcPr>
                  <w:tcW w:w="47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15"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10mg/m</w:t>
                  </w:r>
                  <w:r>
                    <w:rPr>
                      <w:rFonts w:hint="eastAsia" w:cs="Times New Roman"/>
                      <w:color w:val="auto"/>
                      <w:spacing w:val="0"/>
                      <w:kern w:val="2"/>
                      <w:sz w:val="21"/>
                      <w:szCs w:val="21"/>
                      <w:highlight w:val="none"/>
                      <w:vertAlign w:val="superscript"/>
                      <w:lang w:val="en-US" w:eastAsia="zh-CN" w:bidi="ar-SA"/>
                    </w:rPr>
                    <w:t>3</w:t>
                  </w:r>
                </w:p>
              </w:tc>
              <w:tc>
                <w:tcPr>
                  <w:tcW w:w="333"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0.043</w:t>
                  </w:r>
                </w:p>
              </w:tc>
              <w:tc>
                <w:tcPr>
                  <w:tcW w:w="177"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205"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27"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21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非甲烷总烃</w:t>
                  </w:r>
                </w:p>
              </w:tc>
              <w:tc>
                <w:tcPr>
                  <w:tcW w:w="611"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471"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199"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9.72</w:t>
                  </w:r>
                </w:p>
              </w:tc>
              <w:tc>
                <w:tcPr>
                  <w:tcW w:w="236"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3.89（排气筒排放浓度）</w:t>
                  </w:r>
                </w:p>
              </w:tc>
              <w:tc>
                <w:tcPr>
                  <w:tcW w:w="36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0.0112</w:t>
                  </w:r>
                </w:p>
              </w:tc>
              <w:tc>
                <w:tcPr>
                  <w:tcW w:w="22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3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p>
              </w:tc>
              <w:tc>
                <w:tcPr>
                  <w:tcW w:w="506"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0.032</w:t>
                  </w:r>
                </w:p>
              </w:tc>
              <w:tc>
                <w:tcPr>
                  <w:tcW w:w="47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15"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r>
                    <w:rPr>
                      <w:rFonts w:hint="eastAsia" w:cs="Times New Roman"/>
                      <w:color w:val="auto"/>
                      <w:spacing w:val="0"/>
                      <w:kern w:val="2"/>
                      <w:sz w:val="21"/>
                      <w:szCs w:val="21"/>
                      <w:highlight w:val="none"/>
                      <w:lang w:val="en-US" w:eastAsia="zh-CN" w:bidi="ar-SA"/>
                    </w:rPr>
                    <w:t>50mg/m</w:t>
                  </w:r>
                  <w:r>
                    <w:rPr>
                      <w:rFonts w:hint="eastAsia" w:cs="Times New Roman"/>
                      <w:color w:val="auto"/>
                      <w:spacing w:val="0"/>
                      <w:kern w:val="2"/>
                      <w:sz w:val="21"/>
                      <w:szCs w:val="21"/>
                      <w:highlight w:val="none"/>
                      <w:vertAlign w:val="superscript"/>
                      <w:lang w:val="en-US" w:eastAsia="zh-CN" w:bidi="ar-SA"/>
                    </w:rPr>
                    <w:t>3</w:t>
                  </w:r>
                </w:p>
              </w:tc>
              <w:tc>
                <w:tcPr>
                  <w:tcW w:w="333"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0.378</w:t>
                  </w:r>
                </w:p>
              </w:tc>
              <w:tc>
                <w:tcPr>
                  <w:tcW w:w="177" w:type="pct"/>
                  <w:vMerge w:val="restar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205"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27"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银浆电极烘干和烧结还原过程</w:t>
                  </w:r>
                </w:p>
              </w:tc>
              <w:tc>
                <w:tcPr>
                  <w:tcW w:w="21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非甲烷总烃</w:t>
                  </w:r>
                </w:p>
              </w:tc>
              <w:tc>
                <w:tcPr>
                  <w:tcW w:w="611"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烘干和烧结还原过程设备密闭，在各烘干箱和烧熔炉的出口上方设置集气罩，通过风机将废气引入1套活性炭吸附装置进行处理</w:t>
                  </w:r>
                </w:p>
              </w:tc>
              <w:tc>
                <w:tcPr>
                  <w:tcW w:w="471"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199"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4.31</w:t>
                  </w:r>
                </w:p>
              </w:tc>
              <w:tc>
                <w:tcPr>
                  <w:tcW w:w="236"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60"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0.0115</w:t>
                  </w:r>
                </w:p>
              </w:tc>
              <w:tc>
                <w:tcPr>
                  <w:tcW w:w="22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3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506" w:type="pct"/>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auto"/>
                      <w:spacing w:val="0"/>
                      <w:sz w:val="21"/>
                      <w:szCs w:val="21"/>
                      <w:highlight w:val="none"/>
                      <w:lang w:val="en-US" w:eastAsia="zh-CN"/>
                    </w:rPr>
                  </w:pPr>
                  <w:r>
                    <w:rPr>
                      <w:rFonts w:hint="eastAsia"/>
                      <w:color w:val="auto"/>
                      <w:spacing w:val="0"/>
                      <w:sz w:val="21"/>
                      <w:szCs w:val="21"/>
                      <w:highlight w:val="none"/>
                      <w:lang w:val="en-US" w:eastAsia="zh-CN"/>
                    </w:rPr>
                    <w:t>0.032</w:t>
                  </w:r>
                </w:p>
              </w:tc>
              <w:tc>
                <w:tcPr>
                  <w:tcW w:w="478"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315"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s="Times New Roman"/>
                      <w:color w:val="auto"/>
                      <w:spacing w:val="0"/>
                      <w:kern w:val="2"/>
                      <w:sz w:val="21"/>
                      <w:szCs w:val="21"/>
                      <w:highlight w:val="none"/>
                      <w:lang w:val="en-US" w:eastAsia="zh-CN" w:bidi="ar-SA"/>
                    </w:rPr>
                  </w:pPr>
                </w:p>
              </w:tc>
              <w:tc>
                <w:tcPr>
                  <w:tcW w:w="333"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c>
                <w:tcPr>
                  <w:tcW w:w="177" w:type="pct"/>
                  <w:vMerge w:val="continue"/>
                  <w:tcBorders>
                    <w:tl2br w:val="nil"/>
                    <w:tr2bl w:val="nil"/>
                  </w:tcBorders>
                  <w:noWrap w:val="0"/>
                  <w:vAlign w:val="center"/>
                </w:tcPr>
                <w:p>
                  <w:pPr>
                    <w:pStyle w:val="5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color w:val="auto"/>
                      <w:spacing w:val="0"/>
                      <w:sz w:val="21"/>
                      <w:szCs w:val="21"/>
                      <w:highlight w:val="none"/>
                      <w:lang w:val="en-US" w:eastAsia="zh-CN"/>
                    </w:rPr>
                  </w:pPr>
                </w:p>
              </w:tc>
            </w:tr>
          </w:tbl>
          <w:p>
            <w:pPr>
              <w:rPr>
                <w:rFonts w:hint="eastAsia"/>
                <w:color w:val="auto"/>
                <w:lang w:val="en-US" w:eastAsia="zh-CN"/>
              </w:rPr>
            </w:pPr>
            <w:r>
              <w:rPr>
                <w:rFonts w:hint="eastAsia"/>
                <w:color w:val="auto"/>
                <w:highlight w:val="none"/>
                <w:vertAlign w:val="baseline"/>
                <w:lang w:val="en-US" w:eastAsia="zh-CN"/>
              </w:rPr>
              <w:t>由上表可知，</w:t>
            </w:r>
            <w:r>
              <w:rPr>
                <w:rFonts w:hint="eastAsia"/>
                <w:color w:val="auto"/>
                <w:sz w:val="24"/>
                <w:szCs w:val="24"/>
                <w:highlight w:val="none"/>
                <w:shd w:val="clear"/>
                <w:lang w:val="en-US" w:eastAsia="zh-CN"/>
              </w:rPr>
              <w:t>唐山烯彤科技有限公司现有工程氟化物、氯化氢、非甲烷总烃有组织排放浓度均满足相关限值要求，有组织排放量满足环评及批复总量控制指标要求。</w:t>
            </w:r>
          </w:p>
        </w:tc>
      </w:tr>
    </w:tbl>
    <w:p>
      <w:pPr>
        <w:rPr>
          <w:rFonts w:hint="eastAsia" w:ascii="黑体" w:hAnsi="黑体" w:eastAsia="黑体" w:cs="Times New Roman"/>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Borders>
              <w:tl2br w:val="nil"/>
              <w:tr2bl w:val="nil"/>
            </w:tcBorders>
            <w:vAlign w:val="top"/>
          </w:tcPr>
          <w:p>
            <w:pPr>
              <w:rPr>
                <w:rFonts w:hint="eastAsia" w:ascii="黑体" w:hAnsi="黑体" w:eastAsia="黑体" w:cs="Times New Roman"/>
                <w:snapToGrid w:val="0"/>
                <w:color w:val="auto"/>
                <w:sz w:val="30"/>
                <w:szCs w:val="30"/>
                <w:highlight w:val="none"/>
                <w:vertAlign w:val="baseline"/>
              </w:rPr>
            </w:pPr>
          </w:p>
        </w:tc>
        <w:tc>
          <w:tcPr>
            <w:tcW w:w="8526" w:type="dxa"/>
            <w:tcBorders>
              <w:tl2br w:val="nil"/>
              <w:tr2bl w:val="nil"/>
            </w:tcBorders>
            <w:vAlign w:val="top"/>
          </w:tcPr>
          <w:p>
            <w:pPr>
              <w:bidi w:val="0"/>
              <w:ind w:firstLine="480" w:firstLineChars="200"/>
              <w:rPr>
                <w:rFonts w:hint="default"/>
                <w:color w:val="auto"/>
                <w:highlight w:val="none"/>
                <w:lang w:val="en-US" w:eastAsia="zh-CN"/>
              </w:rPr>
            </w:pPr>
            <w:r>
              <w:rPr>
                <w:rFonts w:hint="eastAsia"/>
                <w:color w:val="auto"/>
                <w:highlight w:val="none"/>
                <w:lang w:val="en-US" w:eastAsia="zh-CN"/>
              </w:rPr>
              <w:t>②无组织废气</w:t>
            </w:r>
          </w:p>
          <w:p>
            <w:pPr>
              <w:rPr>
                <w:rFonts w:hint="default" w:eastAsia="宋体"/>
                <w:color w:val="auto"/>
                <w:sz w:val="24"/>
                <w:szCs w:val="24"/>
                <w:highlight w:val="none"/>
                <w:shd w:val="clear"/>
                <w:vertAlign w:val="baseline"/>
                <w:lang w:val="en-US" w:eastAsia="zh-CN"/>
              </w:rPr>
            </w:pPr>
            <w:r>
              <w:rPr>
                <w:rFonts w:hint="eastAsia"/>
                <w:color w:val="auto"/>
                <w:lang w:val="en-US" w:eastAsia="zh-CN"/>
              </w:rPr>
              <w:t>根据河北合利环境检测服务有限公司于2020年11月05日出具的验收检测报告（报告编号：HHJC2020Y028）可知，</w:t>
            </w:r>
            <w:r>
              <w:rPr>
                <w:rFonts w:hint="eastAsia"/>
                <w:color w:val="auto"/>
                <w:sz w:val="24"/>
                <w:szCs w:val="24"/>
                <w:highlight w:val="none"/>
                <w:shd w:val="clear"/>
                <w:lang w:val="en-US" w:eastAsia="zh-CN"/>
              </w:rPr>
              <w:t>唐山烯彤科技有限公司现有工程厂界无组织非甲烷总烃最大浓度为1.40mg/m</w:t>
            </w:r>
            <w:r>
              <w:rPr>
                <w:rFonts w:hint="eastAsia"/>
                <w:color w:val="auto"/>
                <w:sz w:val="24"/>
                <w:szCs w:val="24"/>
                <w:highlight w:val="none"/>
                <w:shd w:val="clear"/>
                <w:vertAlign w:val="superscript"/>
                <w:lang w:val="en-US" w:eastAsia="zh-CN"/>
              </w:rPr>
              <w:t>3</w:t>
            </w:r>
            <w:r>
              <w:rPr>
                <w:rFonts w:hint="eastAsia"/>
                <w:color w:val="auto"/>
                <w:sz w:val="24"/>
                <w:szCs w:val="24"/>
                <w:highlight w:val="none"/>
                <w:shd w:val="clear"/>
                <w:lang w:val="en-US" w:eastAsia="zh-CN"/>
              </w:rPr>
              <w:t>，满足</w:t>
            </w:r>
            <w:r>
              <w:rPr>
                <w:rFonts w:hint="eastAsia" w:ascii="Times New Roman" w:hAnsi="Times New Roman" w:eastAsia="宋体"/>
                <w:color w:val="auto"/>
                <w:szCs w:val="30"/>
              </w:rPr>
              <w:t>《工业企业</w:t>
            </w:r>
            <w:r>
              <w:rPr>
                <w:rFonts w:ascii="Times New Roman" w:hAnsi="Times New Roman" w:eastAsia="宋体"/>
                <w:color w:val="auto"/>
                <w:szCs w:val="30"/>
              </w:rPr>
              <w:t>挥发性有机物排放标准</w:t>
            </w:r>
            <w:r>
              <w:rPr>
                <w:rFonts w:hint="eastAsia" w:ascii="Times New Roman" w:hAnsi="Times New Roman" w:eastAsia="宋体"/>
                <w:color w:val="auto"/>
                <w:szCs w:val="30"/>
              </w:rPr>
              <w:t>》（DB13/2322-2016）表2中“其他</w:t>
            </w:r>
            <w:r>
              <w:rPr>
                <w:rFonts w:ascii="Times New Roman" w:hAnsi="Times New Roman" w:eastAsia="宋体"/>
                <w:color w:val="auto"/>
                <w:szCs w:val="30"/>
              </w:rPr>
              <w:t>企业</w:t>
            </w:r>
            <w:r>
              <w:rPr>
                <w:rFonts w:hint="eastAsia" w:ascii="Times New Roman" w:hAnsi="Times New Roman" w:eastAsia="宋体"/>
                <w:color w:val="auto"/>
                <w:szCs w:val="30"/>
              </w:rPr>
              <w:t>”边界</w:t>
            </w:r>
            <w:r>
              <w:rPr>
                <w:rFonts w:ascii="Times New Roman" w:hAnsi="Times New Roman" w:eastAsia="宋体"/>
                <w:color w:val="auto"/>
                <w:szCs w:val="30"/>
              </w:rPr>
              <w:t>大气污染物浓度限值</w:t>
            </w:r>
            <w:r>
              <w:rPr>
                <w:rFonts w:hint="eastAsia" w:ascii="Times New Roman" w:hAnsi="Times New Roman" w:eastAsia="宋体"/>
                <w:color w:val="auto"/>
                <w:szCs w:val="30"/>
                <w:lang w:eastAsia="zh-CN"/>
              </w:rPr>
              <w:t>：</w:t>
            </w:r>
            <w:r>
              <w:rPr>
                <w:rFonts w:hint="eastAsia" w:ascii="Times New Roman" w:hAnsi="Times New Roman" w:eastAsia="宋体"/>
                <w:color w:val="auto"/>
                <w:szCs w:val="30"/>
                <w:lang w:val="en-US" w:eastAsia="zh-CN"/>
              </w:rPr>
              <w:t>非甲烷总烃2.0</w:t>
            </w:r>
            <w:r>
              <w:rPr>
                <w:rFonts w:hint="eastAsia"/>
                <w:color w:val="auto"/>
                <w:sz w:val="24"/>
                <w:szCs w:val="24"/>
                <w:highlight w:val="none"/>
                <w:shd w:val="clear"/>
                <w:lang w:val="en-US" w:eastAsia="zh-CN"/>
              </w:rPr>
              <w:t>mg/m</w:t>
            </w:r>
            <w:r>
              <w:rPr>
                <w:rFonts w:hint="eastAsia"/>
                <w:color w:val="auto"/>
                <w:sz w:val="24"/>
                <w:szCs w:val="24"/>
                <w:highlight w:val="none"/>
                <w:shd w:val="clear"/>
                <w:vertAlign w:val="superscript"/>
                <w:lang w:val="en-US" w:eastAsia="zh-CN"/>
              </w:rPr>
              <w:t>3</w:t>
            </w:r>
            <w:r>
              <w:rPr>
                <w:rFonts w:hint="eastAsia"/>
                <w:color w:val="auto"/>
                <w:sz w:val="24"/>
                <w:szCs w:val="24"/>
                <w:highlight w:val="none"/>
                <w:shd w:val="clear"/>
                <w:vertAlign w:val="baseline"/>
                <w:lang w:val="en-US" w:eastAsia="zh-CN"/>
              </w:rPr>
              <w:t>。</w:t>
            </w:r>
          </w:p>
          <w:p>
            <w:pPr>
              <w:rPr>
                <w:rFonts w:hint="default" w:eastAsia="宋体"/>
                <w:color w:val="auto"/>
                <w:highlight w:val="none"/>
                <w:lang w:val="en-US" w:eastAsia="zh-CN"/>
              </w:rPr>
            </w:pPr>
            <w:r>
              <w:rPr>
                <w:rFonts w:hint="eastAsia"/>
                <w:color w:val="auto"/>
                <w:highlight w:val="none"/>
                <w:lang w:val="en-US" w:eastAsia="zh-CN"/>
              </w:rPr>
              <w:t>现有工程</w:t>
            </w:r>
            <w:r>
              <w:rPr>
                <w:rFonts w:hint="eastAsia" w:ascii="Times New Roman" w:hAnsi="Times New Roman" w:eastAsia="宋体"/>
                <w:snapToGrid w:val="0"/>
                <w:color w:val="auto"/>
                <w:kern w:val="0"/>
                <w:sz w:val="24"/>
              </w:rPr>
              <w:t>烘干过程在密闭的烘干炉内进行，烧结还原过程在密闭的烧熔炉内进行烘干和烧结还原过程不会有废气逸散，但是在烘干和烧结还原完成后，打开设备将</w:t>
            </w:r>
            <w:r>
              <w:rPr>
                <w:rFonts w:hint="eastAsia" w:ascii="Times New Roman" w:hAnsi="Times New Roman" w:eastAsia="宋体" w:cs="义启新宋体"/>
                <w:snapToGrid w:val="0"/>
                <w:color w:val="auto"/>
                <w:kern w:val="0"/>
                <w:sz w:val="24"/>
              </w:rPr>
              <w:t>基体取出时，有机废气（以非甲烷</w:t>
            </w:r>
            <w:r>
              <w:rPr>
                <w:rFonts w:ascii="Times New Roman" w:hAnsi="Times New Roman" w:eastAsia="宋体" w:cs="义启新宋体"/>
                <w:snapToGrid w:val="0"/>
                <w:color w:val="auto"/>
                <w:kern w:val="0"/>
                <w:sz w:val="24"/>
              </w:rPr>
              <w:t>总烃</w:t>
            </w:r>
            <w:r>
              <w:rPr>
                <w:rFonts w:hint="eastAsia" w:ascii="Times New Roman" w:hAnsi="Times New Roman" w:eastAsia="宋体" w:cs="义启新宋体"/>
                <w:snapToGrid w:val="0"/>
                <w:color w:val="auto"/>
                <w:kern w:val="0"/>
                <w:sz w:val="24"/>
              </w:rPr>
              <w:t>计）会逸出</w:t>
            </w:r>
            <w:r>
              <w:rPr>
                <w:rFonts w:hint="eastAsia" w:ascii="Times New Roman" w:hAnsi="Times New Roman" w:eastAsia="宋体" w:cs="义启新宋体"/>
                <w:snapToGrid w:val="0"/>
                <w:color w:val="auto"/>
                <w:kern w:val="0"/>
                <w:sz w:val="24"/>
                <w:lang w:eastAsia="zh-CN"/>
              </w:rPr>
              <w:t>。</w:t>
            </w:r>
            <w:r>
              <w:rPr>
                <w:rFonts w:hint="eastAsia" w:ascii="Times New Roman" w:hAnsi="Times New Roman" w:eastAsia="宋体" w:cs="义启新宋体"/>
                <w:snapToGrid w:val="0"/>
                <w:color w:val="auto"/>
                <w:kern w:val="0"/>
                <w:sz w:val="24"/>
                <w:lang w:val="en-US" w:eastAsia="zh-CN"/>
              </w:rPr>
              <w:t>根据</w:t>
            </w:r>
            <w:r>
              <w:rPr>
                <w:rFonts w:hint="eastAsia" w:cs="义启新宋体"/>
                <w:snapToGrid w:val="0"/>
                <w:color w:val="auto"/>
                <w:kern w:val="0"/>
                <w:sz w:val="24"/>
                <w:lang w:val="en-US" w:eastAsia="zh-CN"/>
              </w:rPr>
              <w:t>《</w:t>
            </w:r>
            <w:r>
              <w:rPr>
                <w:rFonts w:hint="eastAsia" w:ascii="Times New Roman" w:hAnsi="Times New Roman" w:eastAsia="宋体"/>
                <w:color w:val="auto"/>
                <w:sz w:val="24"/>
                <w:szCs w:val="30"/>
              </w:rPr>
              <w:t>年产八万套石墨烯电发热元件及年产三千吨高性能等静压石墨项目</w:t>
            </w:r>
            <w:r>
              <w:rPr>
                <w:rFonts w:hint="eastAsia" w:ascii="Times New Roman" w:hAnsi="Times New Roman" w:eastAsia="宋体"/>
                <w:color w:val="auto"/>
                <w:sz w:val="24"/>
                <w:szCs w:val="30"/>
                <w:lang w:val="en-US" w:eastAsia="zh-CN"/>
              </w:rPr>
              <w:t>环境影响报告表</w:t>
            </w:r>
            <w:r>
              <w:rPr>
                <w:rFonts w:hint="eastAsia" w:cs="义启新宋体"/>
                <w:snapToGrid w:val="0"/>
                <w:color w:val="auto"/>
                <w:kern w:val="0"/>
                <w:sz w:val="24"/>
                <w:lang w:val="en-US" w:eastAsia="zh-CN"/>
              </w:rPr>
              <w:t>》可知，</w:t>
            </w:r>
            <w:r>
              <w:rPr>
                <w:rFonts w:hint="eastAsia" w:ascii="Times New Roman" w:hAnsi="Times New Roman" w:eastAsia="宋体"/>
                <w:snapToGrid w:val="0"/>
                <w:color w:val="auto"/>
                <w:kern w:val="0"/>
                <w:sz w:val="24"/>
              </w:rPr>
              <w:t>烘干和烧结还原过程</w:t>
            </w:r>
            <w:r>
              <w:rPr>
                <w:rFonts w:hint="eastAsia"/>
                <w:snapToGrid w:val="0"/>
                <w:color w:val="auto"/>
                <w:kern w:val="0"/>
                <w:sz w:val="24"/>
                <w:lang w:val="en-US" w:eastAsia="zh-CN"/>
              </w:rPr>
              <w:t>非甲烷总烃无组织排放量为0.00248t/a</w:t>
            </w:r>
            <w:r>
              <w:rPr>
                <w:rFonts w:hint="eastAsia"/>
                <w:color w:val="auto"/>
                <w:lang w:val="en-US" w:eastAsia="zh-CN"/>
              </w:rPr>
              <w:t>。</w:t>
            </w:r>
          </w:p>
          <w:p>
            <w:pPr>
              <w:rPr>
                <w:rFonts w:hint="default"/>
                <w:color w:val="auto"/>
                <w:highlight w:val="yellow"/>
                <w:lang w:val="en-US" w:eastAsia="zh-CN"/>
              </w:rPr>
            </w:pPr>
            <w:r>
              <w:rPr>
                <w:rFonts w:hint="eastAsia"/>
                <w:color w:val="auto"/>
                <w:highlight w:val="none"/>
                <w:lang w:val="en-US" w:eastAsia="zh-CN"/>
              </w:rPr>
              <w:t>综上，唐山烯彤科技有限公司现有工程氟化物排放量为0.0046t/a，氯化氢排放量为0.034t/a，非甲烷总烃排放量为0.06648t/a。</w:t>
            </w:r>
          </w:p>
          <w:p>
            <w:pPr>
              <w:rPr>
                <w:rFonts w:hint="eastAsia"/>
                <w:color w:val="auto"/>
                <w:highlight w:val="none"/>
                <w:lang w:val="en-US" w:eastAsia="zh-CN"/>
              </w:rPr>
            </w:pPr>
            <w:r>
              <w:rPr>
                <w:rFonts w:hint="eastAsia"/>
                <w:color w:val="auto"/>
                <w:highlight w:val="none"/>
                <w:lang w:val="en-US" w:eastAsia="zh-CN"/>
              </w:rPr>
              <w:t>（2）废水</w:t>
            </w:r>
          </w:p>
          <w:p>
            <w:pPr>
              <w:spacing w:line="480" w:lineRule="exact"/>
              <w:ind w:firstLine="480" w:firstLineChars="200"/>
              <w:rPr>
                <w:rFonts w:hint="default" w:ascii="Times New Roman" w:hAnsi="Times New Roman" w:eastAsia="宋体" w:cs="宋体"/>
                <w:color w:val="auto"/>
                <w:sz w:val="24"/>
                <w:szCs w:val="30"/>
                <w:lang w:val="en-US" w:eastAsia="zh-CN"/>
              </w:rPr>
            </w:pPr>
            <w:r>
              <w:rPr>
                <w:rFonts w:hint="eastAsia"/>
                <w:color w:val="auto"/>
                <w:highlight w:val="none"/>
                <w:lang w:val="en-US" w:eastAsia="zh-CN"/>
              </w:rPr>
              <w:t>唐山烯彤科技有限公司现有工程废水主要为</w:t>
            </w:r>
            <w:r>
              <w:rPr>
                <w:rFonts w:hint="eastAsia" w:ascii="Times New Roman" w:hAnsi="Times New Roman" w:eastAsia="宋体" w:cs="宋体"/>
                <w:color w:val="auto"/>
                <w:sz w:val="24"/>
                <w:szCs w:val="30"/>
              </w:rPr>
              <w:t>镀膜</w:t>
            </w:r>
            <w:r>
              <w:rPr>
                <w:rFonts w:ascii="Times New Roman" w:hAnsi="Times New Roman" w:eastAsia="宋体" w:cs="宋体"/>
                <w:color w:val="auto"/>
                <w:sz w:val="24"/>
                <w:szCs w:val="30"/>
              </w:rPr>
              <w:t>废气处理过程产生的废水</w:t>
            </w:r>
            <w:r>
              <w:rPr>
                <w:rFonts w:hint="eastAsia" w:ascii="Times New Roman" w:hAnsi="Times New Roman" w:eastAsia="宋体" w:cs="宋体"/>
                <w:color w:val="auto"/>
                <w:sz w:val="24"/>
                <w:szCs w:val="30"/>
              </w:rPr>
              <w:t>，基体冷却废水</w:t>
            </w:r>
            <w:r>
              <w:rPr>
                <w:rFonts w:ascii="Times New Roman" w:hAnsi="Times New Roman" w:eastAsia="宋体" w:cs="宋体"/>
                <w:color w:val="auto"/>
                <w:sz w:val="24"/>
                <w:szCs w:val="30"/>
              </w:rPr>
              <w:t>和职工生活</w:t>
            </w:r>
            <w:r>
              <w:rPr>
                <w:rFonts w:hint="eastAsia" w:ascii="Times New Roman" w:hAnsi="Times New Roman" w:eastAsia="宋体" w:cs="宋体"/>
                <w:color w:val="auto"/>
                <w:sz w:val="24"/>
                <w:szCs w:val="30"/>
                <w:lang w:val="en-US" w:eastAsia="zh-CN"/>
              </w:rPr>
              <w:t>污水</w:t>
            </w:r>
            <w:r>
              <w:rPr>
                <w:rFonts w:ascii="Times New Roman" w:hAnsi="Times New Roman" w:eastAsia="宋体" w:cs="宋体"/>
                <w:color w:val="auto"/>
                <w:sz w:val="24"/>
                <w:szCs w:val="30"/>
              </w:rPr>
              <w:t>。</w:t>
            </w:r>
            <w:r>
              <w:rPr>
                <w:rFonts w:hint="eastAsia" w:ascii="Times New Roman" w:hAnsi="Times New Roman" w:eastAsia="宋体" w:cs="宋体"/>
                <w:color w:val="auto"/>
                <w:sz w:val="24"/>
                <w:szCs w:val="30"/>
              </w:rPr>
              <w:t>镀膜</w:t>
            </w:r>
            <w:r>
              <w:rPr>
                <w:rFonts w:ascii="Times New Roman" w:hAnsi="Times New Roman" w:eastAsia="宋体" w:cs="宋体"/>
                <w:color w:val="auto"/>
                <w:sz w:val="24"/>
                <w:szCs w:val="30"/>
              </w:rPr>
              <w:t>废气处理过程产生的</w:t>
            </w:r>
            <w:r>
              <w:rPr>
                <w:rFonts w:hint="eastAsia" w:cs="宋体"/>
                <w:color w:val="auto"/>
                <w:sz w:val="24"/>
                <w:szCs w:val="30"/>
                <w:lang w:val="en-US" w:eastAsia="zh-CN"/>
              </w:rPr>
              <w:t>喷淋废水</w:t>
            </w:r>
            <w:r>
              <w:rPr>
                <w:rFonts w:hint="eastAsia" w:ascii="Times New Roman" w:hAnsi="Times New Roman" w:eastAsia="宋体"/>
                <w:snapToGrid w:val="0"/>
                <w:color w:val="auto"/>
                <w:kern w:val="0"/>
                <w:sz w:val="24"/>
              </w:rPr>
              <w:t>采用耐腐蚀防渗漏的容器储存</w:t>
            </w:r>
            <w:r>
              <w:rPr>
                <w:rFonts w:hint="eastAsia" w:ascii="Times New Roman" w:hAnsi="Times New Roman" w:eastAsia="宋体"/>
                <w:snapToGrid w:val="0"/>
                <w:color w:val="auto"/>
                <w:kern w:val="0"/>
                <w:sz w:val="24"/>
                <w:lang w:eastAsia="zh-CN"/>
              </w:rPr>
              <w:t>，</w:t>
            </w:r>
            <w:r>
              <w:rPr>
                <w:rFonts w:hint="eastAsia" w:ascii="Times New Roman" w:hAnsi="Times New Roman" w:eastAsia="宋体"/>
                <w:snapToGrid w:val="0"/>
                <w:color w:val="auto"/>
                <w:kern w:val="0"/>
                <w:sz w:val="24"/>
                <w:lang w:val="en-US" w:eastAsia="zh-CN"/>
              </w:rPr>
              <w:t>委托有资质单位处置；</w:t>
            </w:r>
            <w:r>
              <w:rPr>
                <w:rFonts w:hint="eastAsia" w:ascii="Times New Roman" w:hAnsi="Times New Roman" w:eastAsia="宋体" w:cs="宋体"/>
                <w:color w:val="auto"/>
                <w:sz w:val="24"/>
                <w:szCs w:val="30"/>
              </w:rPr>
              <w:t>基体冷却废水</w:t>
            </w:r>
            <w:r>
              <w:rPr>
                <w:rFonts w:hint="eastAsia" w:cs="宋体"/>
                <w:color w:val="auto"/>
                <w:sz w:val="24"/>
                <w:szCs w:val="30"/>
                <w:lang w:val="en-US" w:eastAsia="zh-CN"/>
              </w:rPr>
              <w:t>循环使用，不外排；职工生活污水排入市政管网，最终进入西郊污水处理厂处理。</w:t>
            </w:r>
          </w:p>
          <w:p>
            <w:pPr>
              <w:rPr>
                <w:rFonts w:hint="eastAsia"/>
                <w:color w:val="auto"/>
                <w:highlight w:val="none"/>
                <w:lang w:val="en-US" w:eastAsia="zh-CN"/>
              </w:rPr>
            </w:pPr>
            <w:r>
              <w:rPr>
                <w:rFonts w:hint="eastAsia"/>
                <w:color w:val="auto"/>
                <w:lang w:val="en-US" w:eastAsia="zh-CN"/>
              </w:rPr>
              <w:t>根据河北合利环境检测服务有限公司于2020年11月05日出具的验收检测报告（报告编号：HHJC2020Y028）</w:t>
            </w:r>
            <w:r>
              <w:rPr>
                <w:rFonts w:hint="eastAsia"/>
                <w:color w:val="auto"/>
                <w:highlight w:val="none"/>
                <w:lang w:val="en-US" w:eastAsia="zh-CN"/>
              </w:rPr>
              <w:t>，唐山烯彤科技有限公司现有工程污水排放情况见下表。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highlight w:val="none"/>
                <w:lang w:val="en-US" w:eastAsia="zh-CN"/>
              </w:rPr>
            </w:pPr>
            <w:r>
              <w:rPr>
                <w:b/>
                <w:bCs/>
                <w:color w:val="auto"/>
                <w:sz w:val="21"/>
                <w:szCs w:val="21"/>
                <w:highlight w:val="none"/>
              </w:rPr>
              <w:t>表</w:t>
            </w:r>
            <w:r>
              <w:rPr>
                <w:rFonts w:hint="eastAsia"/>
                <w:b/>
                <w:bCs/>
                <w:color w:val="auto"/>
                <w:sz w:val="21"/>
                <w:szCs w:val="21"/>
                <w:highlight w:val="none"/>
                <w:lang w:val="en-US" w:eastAsia="zh-CN"/>
              </w:rPr>
              <w:t>20  现有工程废水排放情况一览表</w:t>
            </w:r>
            <w:r>
              <w:rPr>
                <w:b/>
                <w:bCs/>
                <w:color w:val="auto"/>
                <w:sz w:val="21"/>
                <w:szCs w:val="21"/>
                <w:highlight w:val="none"/>
              </w:rPr>
              <w:t xml:space="preserve">     </w:t>
            </w:r>
          </w:p>
          <w:tbl>
            <w:tblPr>
              <w:tblStyle w:val="25"/>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08"/>
              <w:gridCol w:w="1020"/>
              <w:gridCol w:w="1050"/>
              <w:gridCol w:w="2655"/>
              <w:gridCol w:w="821"/>
              <w:gridCol w:w="8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6"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监测点位</w:t>
                  </w:r>
                </w:p>
              </w:tc>
              <w:tc>
                <w:tcPr>
                  <w:tcW w:w="110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检测项目</w:t>
                  </w:r>
                </w:p>
              </w:tc>
              <w:tc>
                <w:tcPr>
                  <w:tcW w:w="10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单位</w:t>
                  </w:r>
                </w:p>
              </w:tc>
              <w:tc>
                <w:tcPr>
                  <w:tcW w:w="10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监测结果</w:t>
                  </w:r>
                </w:p>
              </w:tc>
              <w:tc>
                <w:tcPr>
                  <w:tcW w:w="2655"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执行标准</w:t>
                  </w:r>
                </w:p>
              </w:tc>
              <w:tc>
                <w:tcPr>
                  <w:tcW w:w="82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限值</w:t>
                  </w:r>
                </w:p>
              </w:tc>
              <w:tc>
                <w:tcPr>
                  <w:tcW w:w="82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废水总排口</w:t>
                  </w:r>
                </w:p>
              </w:tc>
              <w:tc>
                <w:tcPr>
                  <w:tcW w:w="110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COD</w:t>
                  </w:r>
                </w:p>
              </w:tc>
              <w:tc>
                <w:tcPr>
                  <w:tcW w:w="10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398</w:t>
                  </w:r>
                </w:p>
              </w:tc>
              <w:tc>
                <w:tcPr>
                  <w:tcW w:w="265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default"/>
                      <w:color w:val="auto"/>
                      <w:highlight w:val="none"/>
                      <w:lang w:val="en-US" w:eastAsia="zh-CN"/>
                    </w:rPr>
                    <w:t>《污水综合排放标准》（GB8978—1996）表4中三级标准</w:t>
                  </w:r>
                  <w:r>
                    <w:rPr>
                      <w:rFonts w:hint="eastAsia"/>
                      <w:color w:val="auto"/>
                      <w:highlight w:val="none"/>
                      <w:lang w:val="en-US" w:eastAsia="zh-CN"/>
                    </w:rPr>
                    <w:t>，《污水排入城镇下水道水质标准》（GB/T31962-2015），西郊污水处理厂进水水质标准</w:t>
                  </w:r>
                </w:p>
              </w:tc>
              <w:tc>
                <w:tcPr>
                  <w:tcW w:w="82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425</w:t>
                  </w:r>
                </w:p>
              </w:tc>
              <w:tc>
                <w:tcPr>
                  <w:tcW w:w="82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0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220</w:t>
                  </w:r>
                </w:p>
              </w:tc>
              <w:tc>
                <w:tcPr>
                  <w:tcW w:w="265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225</w:t>
                  </w:r>
                </w:p>
              </w:tc>
              <w:tc>
                <w:tcPr>
                  <w:tcW w:w="82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SS</w:t>
                  </w:r>
                </w:p>
              </w:tc>
              <w:tc>
                <w:tcPr>
                  <w:tcW w:w="10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112</w:t>
                  </w:r>
                </w:p>
              </w:tc>
              <w:tc>
                <w:tcPr>
                  <w:tcW w:w="265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300</w:t>
                  </w:r>
                </w:p>
              </w:tc>
              <w:tc>
                <w:tcPr>
                  <w:tcW w:w="82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eastAsia"/>
                      <w:color w:val="auto"/>
                      <w:highlight w:val="none"/>
                      <w:lang w:val="en-US" w:eastAsia="zh-CN"/>
                    </w:rPr>
                  </w:pPr>
                </w:p>
              </w:tc>
              <w:tc>
                <w:tcPr>
                  <w:tcW w:w="1108"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-N</w:t>
                  </w:r>
                </w:p>
              </w:tc>
              <w:tc>
                <w:tcPr>
                  <w:tcW w:w="102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mg/L</w:t>
                  </w:r>
                </w:p>
              </w:tc>
              <w:tc>
                <w:tcPr>
                  <w:tcW w:w="1050"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29.6</w:t>
                  </w:r>
                </w:p>
              </w:tc>
              <w:tc>
                <w:tcPr>
                  <w:tcW w:w="265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p>
              </w:tc>
              <w:tc>
                <w:tcPr>
                  <w:tcW w:w="821"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textAlignment w:val="auto"/>
                    <w:rPr>
                      <w:rFonts w:hint="default"/>
                      <w:color w:val="auto"/>
                      <w:highlight w:val="none"/>
                      <w:lang w:val="en-US" w:eastAsia="zh-CN"/>
                    </w:rPr>
                  </w:pPr>
                  <w:r>
                    <w:rPr>
                      <w:rFonts w:hint="eastAsia"/>
                      <w:color w:val="auto"/>
                      <w:highlight w:val="none"/>
                      <w:lang w:val="en-US" w:eastAsia="zh-CN"/>
                    </w:rPr>
                    <w:t>45</w:t>
                  </w:r>
                </w:p>
              </w:tc>
              <w:tc>
                <w:tcPr>
                  <w:tcW w:w="82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24" w:leftChars="-10" w:right="-24" w:rightChars="-10" w:firstLine="0" w:firstLineChars="0"/>
                    <w:textAlignment w:val="auto"/>
                    <w:rPr>
                      <w:rFonts w:hint="eastAsia"/>
                      <w:color w:val="auto"/>
                      <w:highlight w:val="none"/>
                      <w:lang w:val="en-US" w:eastAsia="zh-CN"/>
                    </w:rPr>
                  </w:pPr>
                  <w:r>
                    <w:rPr>
                      <w:rFonts w:hint="eastAsia"/>
                      <w:color w:val="auto"/>
                      <w:highlight w:val="none"/>
                      <w:lang w:val="en-US" w:eastAsia="zh-CN"/>
                    </w:rPr>
                    <w:t>达标</w:t>
                  </w:r>
                </w:p>
              </w:tc>
            </w:tr>
          </w:tbl>
          <w:p>
            <w:pPr>
              <w:bidi w:val="0"/>
              <w:rPr>
                <w:rFonts w:hint="default"/>
                <w:color w:val="auto"/>
                <w:highlight w:val="none"/>
                <w:lang w:val="en-US" w:eastAsia="zh-CN"/>
              </w:rPr>
            </w:pPr>
            <w:r>
              <w:rPr>
                <w:rFonts w:hint="eastAsia"/>
                <w:color w:val="auto"/>
                <w:highlight w:val="none"/>
                <w:lang w:val="en-US" w:eastAsia="zh-CN"/>
              </w:rPr>
              <w:t>根据上表可知，唐山烯彤科技有限公司现有工程废水排放浓度满足</w:t>
            </w:r>
            <w:r>
              <w:rPr>
                <w:rFonts w:hint="default"/>
                <w:color w:val="auto"/>
                <w:highlight w:val="none"/>
                <w:lang w:val="en-US" w:eastAsia="zh-CN"/>
              </w:rPr>
              <w:t>《污水综合排放标准》（GB8978—1996）表4中三级标准</w:t>
            </w:r>
            <w:r>
              <w:rPr>
                <w:rFonts w:hint="eastAsia"/>
                <w:color w:val="auto"/>
                <w:highlight w:val="none"/>
                <w:lang w:val="en-US" w:eastAsia="zh-CN"/>
              </w:rPr>
              <w:t>，《污水排入城镇下水道水质标准》（GB/T31962-2015），同时满足西郊污水处理厂进水水质标准。现有工程废水排放量为0.48m</w:t>
            </w:r>
            <w:r>
              <w:rPr>
                <w:rFonts w:hint="eastAsia"/>
                <w:color w:val="auto"/>
                <w:highlight w:val="none"/>
                <w:vertAlign w:val="superscript"/>
                <w:lang w:val="en-US" w:eastAsia="zh-CN"/>
              </w:rPr>
              <w:t>3</w:t>
            </w:r>
            <w:r>
              <w:rPr>
                <w:rFonts w:hint="eastAsia"/>
                <w:color w:val="auto"/>
                <w:highlight w:val="none"/>
                <w:lang w:val="en-US" w:eastAsia="zh-CN"/>
              </w:rPr>
              <w:t>/d（144m</w:t>
            </w:r>
            <w:r>
              <w:rPr>
                <w:rFonts w:hint="eastAsia"/>
                <w:color w:val="auto"/>
                <w:highlight w:val="none"/>
                <w:vertAlign w:val="superscript"/>
                <w:lang w:val="en-US" w:eastAsia="zh-CN"/>
              </w:rPr>
              <w:t>3</w:t>
            </w:r>
            <w:r>
              <w:rPr>
                <w:rFonts w:hint="eastAsia"/>
                <w:color w:val="auto"/>
                <w:highlight w:val="none"/>
                <w:lang w:val="en-US" w:eastAsia="zh-CN"/>
              </w:rPr>
              <w:t>/a），则COD排放量为0.057t/a，BOD</w:t>
            </w:r>
            <w:r>
              <w:rPr>
                <w:rFonts w:hint="eastAsia"/>
                <w:color w:val="auto"/>
                <w:highlight w:val="none"/>
                <w:vertAlign w:val="subscript"/>
                <w:lang w:val="en-US" w:eastAsia="zh-CN"/>
              </w:rPr>
              <w:t>5</w:t>
            </w:r>
            <w:r>
              <w:rPr>
                <w:rFonts w:hint="eastAsia"/>
                <w:color w:val="auto"/>
                <w:highlight w:val="none"/>
                <w:lang w:val="en-US" w:eastAsia="zh-CN"/>
              </w:rPr>
              <w:t>排放量为0.032t/a，SS排放量为0.016t/a，NH</w:t>
            </w:r>
            <w:r>
              <w:rPr>
                <w:rFonts w:hint="eastAsia"/>
                <w:color w:val="auto"/>
                <w:highlight w:val="none"/>
                <w:vertAlign w:val="subscript"/>
                <w:lang w:val="en-US" w:eastAsia="zh-CN"/>
              </w:rPr>
              <w:t>3</w:t>
            </w:r>
            <w:r>
              <w:rPr>
                <w:rFonts w:hint="eastAsia"/>
                <w:color w:val="auto"/>
                <w:highlight w:val="none"/>
                <w:lang w:val="en-US" w:eastAsia="zh-CN"/>
              </w:rPr>
              <w:t>-N排放量为0.004t/a。</w:t>
            </w:r>
          </w:p>
          <w:p>
            <w:pPr>
              <w:bidi w:val="0"/>
              <w:rPr>
                <w:rFonts w:hint="default"/>
                <w:color w:val="auto"/>
                <w:highlight w:val="none"/>
                <w:lang w:val="en-US" w:eastAsia="zh-CN"/>
              </w:rPr>
            </w:pPr>
            <w:r>
              <w:rPr>
                <w:rFonts w:hint="eastAsia"/>
                <w:color w:val="auto"/>
                <w:highlight w:val="none"/>
                <w:lang w:val="en-US" w:eastAsia="zh-CN"/>
              </w:rPr>
              <w:t>（3）噪声</w:t>
            </w:r>
          </w:p>
          <w:p>
            <w:pPr>
              <w:bidi w:val="0"/>
              <w:rPr>
                <w:rFonts w:hint="eastAsia"/>
                <w:color w:val="auto"/>
                <w:highlight w:val="none"/>
                <w:lang w:val="en-US" w:eastAsia="zh-CN"/>
              </w:rPr>
            </w:pPr>
            <w:r>
              <w:rPr>
                <w:rFonts w:hint="eastAsia"/>
                <w:color w:val="auto"/>
                <w:highlight w:val="none"/>
                <w:lang w:val="en-US" w:eastAsia="zh-CN"/>
              </w:rPr>
              <w:t>根据检测报告HHJC2020Y028，唐山烯彤科技有限公司现有工程厂界昼间噪声值为55.0～60.7dB（A），夜间噪声值为41.8～47.5dB（A），夜间噪声值满足《工业企业厂界环境噪声排放标准》（GB12348-2008）2类标准限值：夜间50dB（A），昼间噪声不满足《工业企业厂界环境噪声排放标准》（GB12348-2008）2类标准限值：昼间60dB（A）。</w:t>
            </w:r>
          </w:p>
          <w:p>
            <w:pPr>
              <w:numPr>
                <w:ilvl w:val="0"/>
                <w:numId w:val="0"/>
              </w:numPr>
              <w:ind w:leftChars="200"/>
              <w:rPr>
                <w:rFonts w:hint="eastAsia"/>
                <w:color w:val="auto"/>
                <w:highlight w:val="none"/>
                <w:lang w:val="en-US" w:eastAsia="zh-CN"/>
              </w:rPr>
            </w:pPr>
            <w:r>
              <w:rPr>
                <w:rFonts w:hint="eastAsia"/>
                <w:color w:val="auto"/>
                <w:highlight w:val="none"/>
                <w:lang w:val="en-US" w:eastAsia="zh-CN"/>
              </w:rPr>
              <w:t>（4）固体废物</w:t>
            </w:r>
          </w:p>
          <w:p>
            <w:pPr>
              <w:bidi w:val="0"/>
              <w:rPr>
                <w:rFonts w:hint="eastAsia" w:eastAsia="宋体"/>
                <w:color w:val="auto"/>
                <w:highlight w:val="none"/>
                <w:lang w:val="en-US" w:eastAsia="zh-CN"/>
              </w:rPr>
            </w:pPr>
            <w:r>
              <w:rPr>
                <w:rFonts w:hint="eastAsia" w:ascii="Times New Roman" w:eastAsia="宋体"/>
                <w:color w:val="auto"/>
                <w:spacing w:val="0"/>
                <w:sz w:val="24"/>
                <w:highlight w:val="none"/>
                <w:lang w:val="en-US" w:eastAsia="zh-CN"/>
              </w:rPr>
              <w:t>唐山烯彤科技有限公司</w:t>
            </w:r>
            <w:r>
              <w:rPr>
                <w:rFonts w:hint="eastAsia"/>
                <w:color w:val="auto"/>
                <w:spacing w:val="0"/>
                <w:sz w:val="24"/>
                <w:highlight w:val="none"/>
                <w:lang w:val="en-US" w:eastAsia="zh-CN"/>
              </w:rPr>
              <w:t>现有工程</w:t>
            </w:r>
            <w:r>
              <w:rPr>
                <w:rFonts w:ascii="Times New Roman" w:eastAsia="宋体"/>
                <w:color w:val="auto"/>
                <w:spacing w:val="0"/>
                <w:sz w:val="24"/>
                <w:highlight w:val="none"/>
              </w:rPr>
              <w:t>固体废物</w:t>
            </w:r>
            <w:r>
              <w:rPr>
                <w:rFonts w:hint="eastAsia"/>
                <w:color w:val="auto"/>
                <w:spacing w:val="0"/>
                <w:sz w:val="24"/>
                <w:highlight w:val="none"/>
                <w:lang w:val="en-US" w:eastAsia="zh-CN"/>
              </w:rPr>
              <w:t>产生</w:t>
            </w:r>
            <w:r>
              <w:rPr>
                <w:rFonts w:ascii="Times New Roman" w:eastAsia="宋体"/>
                <w:color w:val="auto"/>
                <w:spacing w:val="0"/>
                <w:sz w:val="24"/>
                <w:highlight w:val="none"/>
              </w:rPr>
              <w:t>及治理措施</w:t>
            </w:r>
            <w:r>
              <w:rPr>
                <w:rFonts w:hint="eastAsia" w:ascii="Times New Roman"/>
                <w:color w:val="auto"/>
                <w:spacing w:val="0"/>
                <w:sz w:val="24"/>
                <w:highlight w:val="none"/>
                <w:lang w:val="en-US" w:eastAsia="zh-CN"/>
              </w:rPr>
              <w:t>见下表。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Times New Roman" w:hAnsi="Times New Roman" w:eastAsia="宋体" w:cs="Times New Roman"/>
                <w:color w:val="auto"/>
                <w:sz w:val="24"/>
                <w:szCs w:val="24"/>
                <w:highlight w:val="none"/>
                <w:lang w:val="en-US" w:eastAsia="zh-CN"/>
              </w:rPr>
            </w:pPr>
          </w:p>
        </w:tc>
      </w:tr>
    </w:tbl>
    <w:p>
      <w:pPr>
        <w:rPr>
          <w:rFonts w:hint="eastAsia" w:ascii="黑体" w:hAnsi="黑体" w:eastAsia="黑体" w:cs="Times New Roman"/>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1" w:hRule="atLeast"/>
        </w:trPr>
        <w:tc>
          <w:tcPr>
            <w:tcW w:w="920" w:type="dxa"/>
            <w:tcBorders>
              <w:tl2br w:val="nil"/>
              <w:tr2bl w:val="nil"/>
            </w:tcBorders>
            <w:vAlign w:val="top"/>
          </w:tcPr>
          <w:p>
            <w:pPr>
              <w:rPr>
                <w:rFonts w:hint="eastAsia" w:ascii="黑体" w:hAnsi="黑体" w:eastAsia="黑体" w:cs="Times New Roman"/>
                <w:snapToGrid w:val="0"/>
                <w:color w:val="auto"/>
                <w:sz w:val="30"/>
                <w:szCs w:val="30"/>
                <w:highlight w:val="none"/>
                <w:vertAlign w:val="baseline"/>
              </w:rPr>
            </w:pPr>
          </w:p>
        </w:tc>
        <w:tc>
          <w:tcPr>
            <w:tcW w:w="13254"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21</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eastAsia" w:cs="Times New Roman"/>
                <w:b/>
                <w:bCs/>
                <w:color w:val="auto"/>
                <w:sz w:val="21"/>
                <w:szCs w:val="21"/>
                <w:highlight w:val="none"/>
                <w:shd w:val="clear" w:color="auto" w:fill="auto"/>
                <w:lang w:val="en-US" w:eastAsia="zh-CN"/>
              </w:rPr>
              <w:t xml:space="preserve"> 现有工程固体废物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22"/>
              <w:gridCol w:w="1626"/>
              <w:gridCol w:w="874"/>
              <w:gridCol w:w="1144"/>
              <w:gridCol w:w="645"/>
              <w:gridCol w:w="707"/>
              <w:gridCol w:w="832"/>
              <w:gridCol w:w="1771"/>
              <w:gridCol w:w="1425"/>
              <w:gridCol w:w="915"/>
              <w:gridCol w:w="21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7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217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生产过程</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废包装物</w:t>
                  </w:r>
                </w:p>
              </w:tc>
              <w:tc>
                <w:tcPr>
                  <w:tcW w:w="87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一般工业固体废物</w:t>
                  </w: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无</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暂存于一般固废暂存区</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外售废品回收站</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1t/a</w:t>
                  </w:r>
                </w:p>
              </w:tc>
              <w:tc>
                <w:tcPr>
                  <w:tcW w:w="2178"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相关要求，生活垃圾处置参照执行《中华人民共和国固体废物污染环境防治法》（2020年9月1日）“第四章生活垃圾”的相关规定</w:t>
                  </w:r>
                  <w:r>
                    <w:rPr>
                      <w:rFonts w:hint="eastAsia"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危险废物的收集及临时存放应严格执行</w:t>
                  </w:r>
                  <w:r>
                    <w:rPr>
                      <w:rFonts w:hint="eastAsia" w:cs="Times New Roman"/>
                      <w:color w:val="auto"/>
                      <w:sz w:val="21"/>
                      <w:szCs w:val="21"/>
                      <w:highlight w:val="none"/>
                      <w:shd w:val="clear" w:color="auto" w:fill="auto"/>
                      <w:lang w:eastAsia="zh-CN"/>
                    </w:rPr>
                    <w:t>《危险废物贮存污染控制标准》（GB18597-2023）；</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的要求对固体废物的临时存放场所设置环境保护图形标志牌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1"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职工生活</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生活垃圾</w:t>
                  </w:r>
                </w:p>
              </w:tc>
              <w:tc>
                <w:tcPr>
                  <w:tcW w:w="87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w:t>
                  </w: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4.5</w:t>
                  </w:r>
                  <w:r>
                    <w:rPr>
                      <w:rFonts w:hint="eastAsia" w:cs="Times New Roman"/>
                      <w:color w:val="auto"/>
                      <w:sz w:val="21"/>
                      <w:szCs w:val="21"/>
                      <w:highlight w:val="none"/>
                      <w:shd w:val="clear" w:color="auto" w:fill="auto"/>
                      <w:lang w:val="en-US" w:eastAsia="zh-CN"/>
                    </w:rPr>
                    <w:t>t/a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袋装化收集</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送至环卫部门指定地点统一处理</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4.5</w:t>
                  </w:r>
                  <w:r>
                    <w:rPr>
                      <w:rFonts w:hint="eastAsia" w:cs="Times New Roman"/>
                      <w:color w:val="auto"/>
                      <w:sz w:val="21"/>
                      <w:szCs w:val="21"/>
                      <w:highlight w:val="none"/>
                      <w:shd w:val="clear" w:color="auto" w:fill="auto"/>
                      <w:lang w:val="en-US" w:eastAsia="zh-CN"/>
                    </w:rPr>
                    <w:t>t/a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喷淋塔</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喷淋废水</w:t>
                  </w:r>
                  <w:r>
                    <w:rPr>
                      <w:rFonts w:hint="eastAsia" w:cs="Times New Roman"/>
                      <w:color w:val="auto"/>
                      <w:sz w:val="21"/>
                      <w:szCs w:val="21"/>
                      <w:highlight w:val="none"/>
                      <w:shd w:val="clear" w:color="auto" w:fill="auto"/>
                      <w:lang w:val="en-US" w:eastAsia="zh-CN"/>
                    </w:rPr>
                    <w:t>（HW34 900-249-34）</w:t>
                  </w:r>
                </w:p>
              </w:tc>
              <w:tc>
                <w:tcPr>
                  <w:tcW w:w="874"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危险废物</w:t>
                  </w: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废酸</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C，T</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更换后存放于耐腐蚀防渗漏的容器，暂存于危废间</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定期委托有资质单位运走处置</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镀膜过程</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镀膜液包装桶（HW49 900-041-49）</w:t>
                  </w:r>
                </w:p>
              </w:tc>
              <w:tc>
                <w:tcPr>
                  <w:tcW w:w="87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镀膜液</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T/In</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4个/a</w:t>
                  </w:r>
                </w:p>
              </w:tc>
              <w:tc>
                <w:tcPr>
                  <w:tcW w:w="1771"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加盖，暂存于危废间</w:t>
                  </w:r>
                </w:p>
              </w:tc>
              <w:tc>
                <w:tcPr>
                  <w:tcW w:w="142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定期由厂家回收，循环使用</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4个/a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印电极过程</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电极银浆包装罐（HW49 900-041-49）</w:t>
                  </w:r>
                </w:p>
              </w:tc>
              <w:tc>
                <w:tcPr>
                  <w:tcW w:w="87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电极银浆</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T/In</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50个/a</w:t>
                  </w:r>
                </w:p>
              </w:tc>
              <w:tc>
                <w:tcPr>
                  <w:tcW w:w="1771"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42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50个/a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活性炭吸附装置</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废活性炭（HW49 900-039-49）</w:t>
                  </w:r>
                </w:p>
              </w:tc>
              <w:tc>
                <w:tcPr>
                  <w:tcW w:w="87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有机化合物</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0.1t/a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使用专用容器密闭储存，暂存于危废间</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定期委托有资质单位运走处置</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0.1t/a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92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设备保养</w:t>
                  </w: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废润滑（HW08 900-217-08）</w:t>
                  </w:r>
                </w:p>
              </w:tc>
              <w:tc>
                <w:tcPr>
                  <w:tcW w:w="87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矿物油</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3kg/a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桶装加盖，暂存于危废间</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定期委托有资质单位运走处置</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3kg/a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92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62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废润滑油桶（HW08 900-249-08）</w:t>
                  </w:r>
                </w:p>
              </w:tc>
              <w:tc>
                <w:tcPr>
                  <w:tcW w:w="87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p>
              </w:tc>
              <w:tc>
                <w:tcPr>
                  <w:tcW w:w="11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矿物油</w:t>
                  </w:r>
                </w:p>
              </w:tc>
              <w:tc>
                <w:tcPr>
                  <w:tcW w:w="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w:t>
                  </w:r>
                </w:p>
              </w:tc>
              <w:tc>
                <w:tcPr>
                  <w:tcW w:w="8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2个/a</w:t>
                  </w:r>
                </w:p>
              </w:tc>
              <w:tc>
                <w:tcPr>
                  <w:tcW w:w="1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加盖，暂存于危废间</w:t>
                  </w:r>
                </w:p>
              </w:tc>
              <w:tc>
                <w:tcPr>
                  <w:tcW w:w="14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定期委托有资质单位运走处置</w:t>
                  </w:r>
                </w:p>
              </w:tc>
              <w:tc>
                <w:tcPr>
                  <w:tcW w:w="91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2个/a</w:t>
                  </w:r>
                </w:p>
              </w:tc>
              <w:tc>
                <w:tcPr>
                  <w:tcW w:w="2178"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pPr>
              <w:ind w:left="0" w:leftChars="0" w:firstLine="0" w:firstLineChars="0"/>
              <w:rPr>
                <w:rFonts w:hint="eastAsia" w:ascii="黑体" w:hAnsi="黑体" w:eastAsia="黑体" w:cs="Times New Roman"/>
                <w:snapToGrid w:val="0"/>
                <w:color w:val="auto"/>
                <w:sz w:val="30"/>
                <w:szCs w:val="30"/>
                <w:highlight w:val="none"/>
                <w:vertAlign w:val="baseline"/>
              </w:rPr>
            </w:pPr>
          </w:p>
        </w:tc>
      </w:tr>
    </w:tbl>
    <w:p>
      <w:pPr>
        <w:rPr>
          <w:rFonts w:hint="eastAsia" w:ascii="黑体" w:hAnsi="黑体" w:eastAsia="黑体" w:cs="Times New Roman"/>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84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977" w:type="dxa"/>
            <w:tcBorders>
              <w:tl2br w:val="nil"/>
              <w:tr2bl w:val="nil"/>
            </w:tcBorders>
          </w:tcPr>
          <w:p>
            <w:pPr>
              <w:rPr>
                <w:rFonts w:hint="eastAsia" w:ascii="黑体" w:hAnsi="黑体" w:eastAsia="黑体" w:cs="Times New Roman"/>
                <w:snapToGrid w:val="0"/>
                <w:color w:val="auto"/>
                <w:sz w:val="30"/>
                <w:szCs w:val="30"/>
                <w:highlight w:val="none"/>
                <w:vertAlign w:val="baseline"/>
              </w:rPr>
            </w:pPr>
          </w:p>
        </w:tc>
        <w:tc>
          <w:tcPr>
            <w:tcW w:w="8481" w:type="dxa"/>
            <w:tcBorders>
              <w:tl2br w:val="nil"/>
              <w:tr2bl w:val="nil"/>
            </w:tcBorders>
          </w:tcPr>
          <w:p>
            <w:pPr>
              <w:spacing w:line="440" w:lineRule="exact"/>
              <w:ind w:firstLine="480"/>
              <w:rPr>
                <w:rFonts w:ascii="Times New Roman" w:eastAsia="宋体"/>
                <w:color w:val="auto"/>
                <w:spacing w:val="0"/>
                <w:sz w:val="24"/>
                <w:szCs w:val="24"/>
                <w:highlight w:val="none"/>
              </w:rPr>
            </w:pPr>
            <w:r>
              <w:rPr>
                <w:rFonts w:ascii="Times New Roman" w:eastAsia="宋体"/>
                <w:color w:val="auto"/>
                <w:spacing w:val="0"/>
                <w:sz w:val="24"/>
                <w:szCs w:val="24"/>
                <w:highlight w:val="none"/>
              </w:rPr>
              <w:t>现有工程产生的</w:t>
            </w:r>
            <w:r>
              <w:rPr>
                <w:rFonts w:hint="eastAsia" w:ascii="Times New Roman" w:eastAsia="宋体"/>
                <w:color w:val="auto"/>
                <w:spacing w:val="0"/>
                <w:sz w:val="24"/>
                <w:szCs w:val="24"/>
                <w:highlight w:val="none"/>
                <w:lang w:val="en-US" w:eastAsia="zh-CN"/>
              </w:rPr>
              <w:t>危险废物</w:t>
            </w:r>
            <w:r>
              <w:rPr>
                <w:rFonts w:hint="eastAsia"/>
                <w:color w:val="auto"/>
                <w:spacing w:val="0"/>
                <w:sz w:val="24"/>
                <w:szCs w:val="24"/>
                <w:highlight w:val="none"/>
                <w:lang w:eastAsia="zh-CN"/>
              </w:rPr>
              <w:t>，</w:t>
            </w:r>
            <w:r>
              <w:rPr>
                <w:rFonts w:hint="eastAsia"/>
                <w:color w:val="auto"/>
                <w:spacing w:val="0"/>
                <w:sz w:val="24"/>
                <w:szCs w:val="24"/>
                <w:highlight w:val="none"/>
                <w:lang w:val="en-US" w:eastAsia="zh-CN"/>
              </w:rPr>
              <w:t>暂存于危废间</w:t>
            </w:r>
            <w:r>
              <w:rPr>
                <w:rFonts w:ascii="Times New Roman" w:eastAsia="宋体"/>
                <w:color w:val="auto"/>
                <w:spacing w:val="0"/>
                <w:sz w:val="24"/>
                <w:szCs w:val="24"/>
                <w:highlight w:val="none"/>
              </w:rPr>
              <w:t>，</w:t>
            </w:r>
            <w:r>
              <w:rPr>
                <w:rFonts w:hint="eastAsia"/>
                <w:color w:val="auto"/>
                <w:spacing w:val="0"/>
                <w:sz w:val="24"/>
                <w:szCs w:val="24"/>
                <w:highlight w:val="none"/>
                <w:lang w:val="en-US" w:eastAsia="zh-CN"/>
              </w:rPr>
              <w:t>定期委托有资质单位运走处置或由厂家回收，循环使用，危废间为彩钢钢结构</w:t>
            </w:r>
            <w:r>
              <w:rPr>
                <w:rFonts w:ascii="Times New Roman" w:eastAsia="宋体"/>
                <w:color w:val="auto"/>
                <w:spacing w:val="0"/>
                <w:sz w:val="24"/>
                <w:szCs w:val="24"/>
                <w:highlight w:val="none"/>
              </w:rPr>
              <w:t>建筑，符合防风、防雨、防晒的要求。</w:t>
            </w:r>
            <w:r>
              <w:rPr>
                <w:rFonts w:hint="eastAsia" w:ascii="Times New Roman" w:eastAsia="宋体"/>
                <w:color w:val="auto"/>
                <w:spacing w:val="0"/>
                <w:sz w:val="24"/>
                <w:szCs w:val="24"/>
                <w:highlight w:val="none"/>
                <w:lang w:val="en-US" w:eastAsia="zh-CN"/>
              </w:rPr>
              <w:t>喷淋废水每半年转运一次，其余</w:t>
            </w:r>
            <w:r>
              <w:rPr>
                <w:rFonts w:hint="eastAsia"/>
                <w:color w:val="auto"/>
                <w:spacing w:val="0"/>
                <w:sz w:val="24"/>
                <w:szCs w:val="24"/>
                <w:highlight w:val="none"/>
                <w:lang w:val="en-US" w:eastAsia="zh-CN"/>
              </w:rPr>
              <w:t>危废每年转运一次，</w:t>
            </w:r>
            <w:r>
              <w:rPr>
                <w:rFonts w:hint="eastAsia" w:ascii="Times New Roman" w:eastAsia="宋体"/>
                <w:color w:val="auto"/>
                <w:spacing w:val="0"/>
                <w:sz w:val="24"/>
                <w:szCs w:val="24"/>
                <w:highlight w:val="none"/>
              </w:rPr>
              <w:t>根据建设单位提供资料</w:t>
            </w:r>
            <w:r>
              <w:rPr>
                <w:rFonts w:hint="eastAsia"/>
                <w:color w:val="auto"/>
                <w:spacing w:val="0"/>
                <w:sz w:val="24"/>
                <w:highlight w:val="none"/>
                <w:lang w:val="en-US" w:eastAsia="zh-CN"/>
              </w:rPr>
              <w:t>，危废间面积为15m</w:t>
            </w:r>
            <w:r>
              <w:rPr>
                <w:rFonts w:hint="eastAsia"/>
                <w:color w:val="auto"/>
                <w:spacing w:val="0"/>
                <w:sz w:val="24"/>
                <w:highlight w:val="none"/>
                <w:vertAlign w:val="superscript"/>
                <w:lang w:val="en-US" w:eastAsia="zh-CN"/>
              </w:rPr>
              <w:t>2</w:t>
            </w:r>
            <w:r>
              <w:rPr>
                <w:rFonts w:hint="eastAsia"/>
                <w:color w:val="auto"/>
                <w:spacing w:val="0"/>
                <w:sz w:val="24"/>
                <w:highlight w:val="none"/>
                <w:lang w:val="en-US" w:eastAsia="zh-CN"/>
              </w:rPr>
              <w:t>，危废间已利用面积约10m</w:t>
            </w:r>
            <w:r>
              <w:rPr>
                <w:rFonts w:hint="eastAsia"/>
                <w:color w:val="auto"/>
                <w:spacing w:val="0"/>
                <w:sz w:val="24"/>
                <w:highlight w:val="none"/>
                <w:vertAlign w:val="superscript"/>
                <w:lang w:val="en-US" w:eastAsia="zh-CN"/>
              </w:rPr>
              <w:t>2</w:t>
            </w:r>
            <w:r>
              <w:rPr>
                <w:rFonts w:hint="eastAsia"/>
                <w:color w:val="auto"/>
                <w:spacing w:val="0"/>
                <w:sz w:val="24"/>
                <w:szCs w:val="24"/>
                <w:highlight w:val="none"/>
                <w:lang w:val="en-US" w:eastAsia="zh-CN"/>
              </w:rPr>
              <w:t>，</w:t>
            </w:r>
            <w:r>
              <w:rPr>
                <w:rFonts w:hint="eastAsia" w:ascii="Times New Roman" w:eastAsia="宋体"/>
                <w:color w:val="auto"/>
                <w:spacing w:val="0"/>
                <w:sz w:val="24"/>
                <w:szCs w:val="24"/>
                <w:highlight w:val="none"/>
              </w:rPr>
              <w:t>满足危险废物的存储要求</w:t>
            </w:r>
            <w:r>
              <w:rPr>
                <w:rFonts w:ascii="Times New Roman" w:eastAsia="宋体"/>
                <w:color w:val="auto"/>
                <w:spacing w:val="0"/>
                <w:sz w:val="24"/>
                <w:szCs w:val="24"/>
                <w:highlight w:val="none"/>
              </w:rPr>
              <w:t>。危险固废贮存间地面</w:t>
            </w:r>
            <w:r>
              <w:rPr>
                <w:rFonts w:ascii="Times New Roman" w:eastAsia="宋体"/>
                <w:color w:val="auto"/>
                <w:spacing w:val="0"/>
                <w:sz w:val="24"/>
                <w:highlight w:val="none"/>
              </w:rPr>
              <w:t>做耐腐蚀、硬化防渗处理，地面无裂隙，并建有堵截泄漏的裙脚</w:t>
            </w:r>
            <w:r>
              <w:rPr>
                <w:rFonts w:ascii="Times New Roman" w:eastAsia="宋体"/>
                <w:snapToGrid w:val="0"/>
                <w:color w:val="auto"/>
                <w:spacing w:val="0"/>
                <w:sz w:val="24"/>
                <w:szCs w:val="24"/>
                <w:highlight w:val="none"/>
              </w:rPr>
              <w:t>，渗透系数小于10</w:t>
            </w:r>
            <w:r>
              <w:rPr>
                <w:rFonts w:ascii="Times New Roman" w:eastAsia="宋体"/>
                <w:snapToGrid w:val="0"/>
                <w:color w:val="auto"/>
                <w:spacing w:val="0"/>
                <w:sz w:val="24"/>
                <w:szCs w:val="24"/>
                <w:highlight w:val="none"/>
                <w:vertAlign w:val="superscript"/>
              </w:rPr>
              <w:t>-10</w:t>
            </w:r>
            <w:r>
              <w:rPr>
                <w:rFonts w:ascii="Times New Roman" w:eastAsia="宋体"/>
                <w:snapToGrid w:val="0"/>
                <w:color w:val="auto"/>
                <w:spacing w:val="0"/>
                <w:sz w:val="24"/>
                <w:szCs w:val="24"/>
                <w:highlight w:val="none"/>
              </w:rPr>
              <w:t>cm/s。</w:t>
            </w:r>
            <w:r>
              <w:rPr>
                <w:rFonts w:ascii="Times New Roman" w:eastAsia="宋体"/>
                <w:color w:val="auto"/>
                <w:spacing w:val="0"/>
                <w:sz w:val="24"/>
                <w:szCs w:val="24"/>
                <w:highlight w:val="none"/>
              </w:rPr>
              <w:t>危险废</w:t>
            </w:r>
            <w:r>
              <w:rPr>
                <w:rFonts w:hint="eastAsia" w:ascii="Times New Roman" w:eastAsia="宋体"/>
                <w:color w:val="auto"/>
                <w:spacing w:val="0"/>
                <w:sz w:val="24"/>
                <w:szCs w:val="24"/>
                <w:highlight w:val="none"/>
              </w:rPr>
              <w:t>物</w:t>
            </w:r>
            <w:r>
              <w:rPr>
                <w:rFonts w:ascii="Times New Roman" w:eastAsia="宋体"/>
                <w:color w:val="auto"/>
                <w:spacing w:val="0"/>
                <w:sz w:val="24"/>
                <w:szCs w:val="24"/>
                <w:highlight w:val="none"/>
              </w:rPr>
              <w:t>符合</w:t>
            </w:r>
            <w:r>
              <w:rPr>
                <w:rFonts w:hint="eastAsia"/>
                <w:color w:val="auto"/>
                <w:spacing w:val="0"/>
                <w:sz w:val="24"/>
                <w:szCs w:val="24"/>
                <w:highlight w:val="none"/>
                <w:lang w:eastAsia="zh-CN"/>
              </w:rPr>
              <w:t>《危险废物贮存污染控制标准》（GB18597-2023）</w:t>
            </w:r>
            <w:r>
              <w:rPr>
                <w:rFonts w:hint="eastAsia" w:ascii="Times New Roman" w:eastAsia="宋体"/>
                <w:color w:val="auto"/>
                <w:spacing w:val="0"/>
                <w:sz w:val="24"/>
                <w:szCs w:val="24"/>
                <w:highlight w:val="none"/>
              </w:rPr>
              <w:t>要求</w:t>
            </w:r>
            <w:r>
              <w:rPr>
                <w:rFonts w:ascii="Times New Roman" w:eastAsia="宋体"/>
                <w:color w:val="auto"/>
                <w:spacing w:val="0"/>
                <w:sz w:val="24"/>
                <w:szCs w:val="24"/>
                <w:highlight w:val="none"/>
              </w:rPr>
              <w:t>。</w:t>
            </w:r>
          </w:p>
          <w:p>
            <w:pPr>
              <w:numPr>
                <w:ilvl w:val="0"/>
                <w:numId w:val="0"/>
              </w:numPr>
              <w:bidi w:val="0"/>
              <w:rPr>
                <w:rFonts w:hint="default"/>
                <w:b/>
                <w:bCs/>
                <w:color w:val="auto"/>
                <w:highlight w:val="none"/>
                <w:lang w:val="en-US" w:eastAsia="zh-CN"/>
              </w:rPr>
            </w:pPr>
            <w:r>
              <w:rPr>
                <w:rFonts w:hint="eastAsia"/>
                <w:b/>
                <w:bCs/>
                <w:color w:val="auto"/>
                <w:highlight w:val="none"/>
                <w:lang w:val="en-US" w:eastAsia="zh-CN"/>
              </w:rPr>
              <w:t>2、防渗措施</w:t>
            </w:r>
          </w:p>
          <w:p>
            <w:pPr>
              <w:rPr>
                <w:rFonts w:hint="eastAsia" w:ascii="Times New Roman" w:eastAsia="宋体"/>
                <w:color w:val="auto"/>
                <w:spacing w:val="0"/>
                <w:sz w:val="24"/>
                <w:highlight w:val="none"/>
              </w:rPr>
            </w:pPr>
            <w:r>
              <w:rPr>
                <w:rFonts w:hint="eastAsia" w:ascii="Times New Roman" w:eastAsia="宋体"/>
                <w:color w:val="auto"/>
                <w:spacing w:val="0"/>
                <w:sz w:val="24"/>
                <w:highlight w:val="none"/>
              </w:rPr>
              <w:t>根据现场调查及建设单位提供资料，厂区现有防渗情况如下：</w:t>
            </w:r>
          </w:p>
          <w:p>
            <w:pPr>
              <w:numPr>
                <w:ilvl w:val="0"/>
                <w:numId w:val="21"/>
              </w:numPr>
              <w:bidi w:val="0"/>
              <w:rPr>
                <w:rFonts w:hint="eastAsia" w:cs="Times New Roman"/>
                <w:color w:val="auto"/>
                <w:highlight w:val="none"/>
                <w:lang w:eastAsia="zh-CN"/>
              </w:rPr>
            </w:pPr>
            <w:r>
              <w:rPr>
                <w:rFonts w:hint="eastAsia"/>
                <w:color w:val="auto"/>
                <w:lang w:val="en-US" w:eastAsia="zh-CN"/>
              </w:rPr>
              <w:t>危废间地面及裙角已做好防渗处理，渗透系数</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w:t>
            </w:r>
            <w:r>
              <w:rPr>
                <w:rFonts w:hint="eastAsia" w:cs="Times New Roman"/>
                <w:color w:val="auto"/>
                <w:highlight w:val="none"/>
                <w:lang w:eastAsia="zh-CN"/>
              </w:rPr>
              <w:t>；</w:t>
            </w:r>
          </w:p>
          <w:p>
            <w:pPr>
              <w:numPr>
                <w:ilvl w:val="0"/>
                <w:numId w:val="21"/>
              </w:numPr>
              <w:bidi w:val="0"/>
              <w:rPr>
                <w:rFonts w:hint="eastAsia" w:cs="Times New Roman"/>
                <w:color w:val="auto"/>
                <w:highlight w:val="none"/>
                <w:lang w:val="en-US" w:eastAsia="zh-CN"/>
              </w:rPr>
            </w:pPr>
            <w:r>
              <w:rPr>
                <w:rFonts w:hint="eastAsia" w:cs="Times New Roman"/>
                <w:color w:val="auto"/>
                <w:highlight w:val="none"/>
                <w:lang w:val="en-US" w:eastAsia="zh-CN"/>
              </w:rPr>
              <w:t>危险品储存区地面进行防腐防渗处理，</w:t>
            </w:r>
            <w:r>
              <w:rPr>
                <w:rFonts w:hint="eastAsia"/>
                <w:color w:val="auto"/>
                <w:lang w:val="en-US" w:eastAsia="zh-CN"/>
              </w:rPr>
              <w:t>渗透系数</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w:t>
            </w:r>
            <w:r>
              <w:rPr>
                <w:rFonts w:hint="eastAsia" w:cs="Times New Roman"/>
                <w:color w:val="auto"/>
                <w:highlight w:val="none"/>
                <w:lang w:eastAsia="zh-CN"/>
              </w:rPr>
              <w:t>；</w:t>
            </w:r>
          </w:p>
          <w:p>
            <w:pPr>
              <w:numPr>
                <w:ilvl w:val="0"/>
                <w:numId w:val="21"/>
              </w:numPr>
              <w:bidi w:val="0"/>
              <w:rPr>
                <w:rFonts w:hint="eastAsia" w:cs="Times New Roman"/>
                <w:color w:val="auto"/>
                <w:highlight w:val="none"/>
                <w:lang w:val="en-US" w:eastAsia="zh-CN"/>
              </w:rPr>
            </w:pPr>
            <w:r>
              <w:rPr>
                <w:rFonts w:hint="eastAsia" w:cs="Times New Roman"/>
                <w:color w:val="auto"/>
                <w:highlight w:val="none"/>
                <w:lang w:val="en-US" w:eastAsia="zh-CN"/>
              </w:rPr>
              <w:t>碱液喷淋塔循环水箱采用封闭的碳钢结构，内部涂刷防腐材料，基体镀膜冷却用水储存于塑料箱中，防止生产过程中发生跑、冒、滴、漏现象；</w:t>
            </w:r>
          </w:p>
          <w:p>
            <w:pPr>
              <w:numPr>
                <w:ilvl w:val="0"/>
                <w:numId w:val="21"/>
              </w:numPr>
              <w:bidi w:val="0"/>
              <w:rPr>
                <w:rFonts w:hint="eastAsia" w:cs="Times New Roman"/>
                <w:color w:val="auto"/>
                <w:highlight w:val="none"/>
                <w:lang w:val="en-US" w:eastAsia="zh-CN"/>
              </w:rPr>
            </w:pPr>
            <w:r>
              <w:rPr>
                <w:rFonts w:hint="eastAsia" w:cs="Times New Roman"/>
                <w:color w:val="auto"/>
                <w:highlight w:val="none"/>
                <w:lang w:val="en-US" w:eastAsia="zh-CN"/>
              </w:rPr>
              <w:t>厂区地面进行水泥硬化处理。</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b/>
                <w:bCs/>
                <w:color w:val="auto"/>
                <w:highlight w:val="none"/>
                <w:lang w:val="en-US" w:eastAsia="zh-CN"/>
              </w:rPr>
              <w:t>3、环境管理</w:t>
            </w:r>
          </w:p>
          <w:p>
            <w:pPr>
              <w:bidi w:val="0"/>
              <w:rPr>
                <w:rFonts w:hint="eastAsia"/>
                <w:color w:val="auto"/>
                <w:highlight w:val="none"/>
                <w:lang w:eastAsia="zh-CN"/>
              </w:rPr>
            </w:pPr>
            <w:r>
              <w:rPr>
                <w:rFonts w:hint="eastAsia"/>
                <w:color w:val="auto"/>
                <w:highlight w:val="none"/>
                <w:lang w:val="en-US" w:eastAsia="zh-CN"/>
              </w:rPr>
              <w:t>唐山烯彤科技有限公司环保手续齐全，</w:t>
            </w:r>
            <w:r>
              <w:rPr>
                <w:rFonts w:hint="default"/>
                <w:color w:val="auto"/>
                <w:highlight w:val="none"/>
              </w:rPr>
              <w:t>建立了完整的环保档案，并设有专人管理，公司建立</w:t>
            </w:r>
            <w:r>
              <w:rPr>
                <w:rFonts w:hint="eastAsia"/>
                <w:color w:val="auto"/>
                <w:highlight w:val="none"/>
                <w:lang w:eastAsia="zh-CN"/>
              </w:rPr>
              <w:t>了</w:t>
            </w:r>
            <w:r>
              <w:rPr>
                <w:rFonts w:hint="default"/>
                <w:color w:val="auto"/>
                <w:highlight w:val="none"/>
              </w:rPr>
              <w:t>环保管理规章制度，环保设施的运行、维护、日常监督均有专人负责。</w:t>
            </w:r>
          </w:p>
          <w:p>
            <w:pPr>
              <w:numPr>
                <w:ilvl w:val="0"/>
                <w:numId w:val="0"/>
              </w:numPr>
              <w:bidi w:val="0"/>
              <w:ind w:leftChars="200"/>
              <w:rPr>
                <w:rFonts w:hint="default"/>
                <w:b/>
                <w:bCs/>
                <w:color w:val="auto"/>
                <w:highlight w:val="none"/>
              </w:rPr>
            </w:pPr>
            <w:r>
              <w:rPr>
                <w:rFonts w:hint="eastAsia"/>
                <w:b/>
                <w:bCs/>
                <w:color w:val="auto"/>
                <w:highlight w:val="none"/>
                <w:lang w:val="en-US" w:eastAsia="zh-CN"/>
              </w:rPr>
              <w:t>3.1</w:t>
            </w:r>
            <w:r>
              <w:rPr>
                <w:rFonts w:hint="default"/>
                <w:b/>
                <w:bCs/>
                <w:color w:val="auto"/>
                <w:highlight w:val="none"/>
              </w:rPr>
              <w:t>现有工程排污口规范化情况</w:t>
            </w:r>
          </w:p>
          <w:p>
            <w:pPr>
              <w:spacing w:line="480" w:lineRule="exact"/>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废气排污口规范化：</w:t>
            </w:r>
            <w:r>
              <w:rPr>
                <w:rFonts w:hint="eastAsia" w:ascii="Times New Roman" w:hAnsi="Times New Roman" w:eastAsia="宋体" w:cs="Times New Roman"/>
                <w:color w:val="auto"/>
                <w:sz w:val="24"/>
                <w:szCs w:val="24"/>
                <w:highlight w:val="none"/>
                <w:lang w:val="en-US" w:eastAsia="zh-CN"/>
              </w:rPr>
              <w:t>现有工程共设置</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根排气筒，</w:t>
            </w:r>
            <w:r>
              <w:rPr>
                <w:rFonts w:hint="default" w:ascii="Times New Roman" w:hAnsi="Times New Roman" w:eastAsia="宋体" w:cs="Times New Roman"/>
                <w:color w:val="auto"/>
                <w:sz w:val="24"/>
                <w:szCs w:val="24"/>
                <w:highlight w:val="none"/>
              </w:rPr>
              <w:t>排气筒高度</w:t>
            </w:r>
            <w:r>
              <w:rPr>
                <w:rFonts w:hint="eastAsia" w:ascii="Times New Roman" w:hAnsi="Times New Roman" w:eastAsia="宋体" w:cs="Times New Roman"/>
                <w:color w:val="auto"/>
                <w:sz w:val="24"/>
                <w:szCs w:val="24"/>
                <w:highlight w:val="none"/>
                <w:lang w:val="en-US" w:eastAsia="zh-CN"/>
              </w:rPr>
              <w:t>均满足标准要求</w:t>
            </w:r>
            <w:r>
              <w:rPr>
                <w:rFonts w:hint="default" w:ascii="Times New Roman" w:hAnsi="Times New Roman" w:eastAsia="宋体" w:cs="Times New Roman"/>
                <w:color w:val="auto"/>
                <w:sz w:val="24"/>
                <w:szCs w:val="24"/>
                <w:highlight w:val="none"/>
              </w:rPr>
              <w:t>，排气筒设置</w:t>
            </w:r>
            <w:r>
              <w:rPr>
                <w:rFonts w:hint="eastAsia" w:ascii="Times New Roman" w:hAnsi="Times New Roman" w:eastAsia="宋体" w:cs="Times New Roman"/>
                <w:color w:val="auto"/>
                <w:sz w:val="24"/>
                <w:szCs w:val="24"/>
                <w:highlight w:val="none"/>
                <w:lang w:val="en-US" w:eastAsia="zh-CN"/>
              </w:rPr>
              <w:t>了</w:t>
            </w:r>
            <w:r>
              <w:rPr>
                <w:rFonts w:hint="default" w:ascii="Times New Roman" w:hAnsi="Times New Roman" w:eastAsia="宋体" w:cs="Times New Roman"/>
                <w:color w:val="auto"/>
                <w:sz w:val="24"/>
                <w:szCs w:val="24"/>
                <w:highlight w:val="none"/>
              </w:rPr>
              <w:t>便于采样、监测的采样口和采样平台。在各排气筒近地面处，设立</w:t>
            </w:r>
            <w:r>
              <w:rPr>
                <w:rFonts w:hint="eastAsia" w:ascii="Times New Roman" w:hAnsi="Times New Roman" w:eastAsia="宋体" w:cs="Times New Roman"/>
                <w:color w:val="auto"/>
                <w:sz w:val="24"/>
                <w:szCs w:val="24"/>
                <w:highlight w:val="none"/>
                <w:lang w:val="en-US" w:eastAsia="zh-CN"/>
              </w:rPr>
              <w:t>了</w:t>
            </w:r>
            <w:r>
              <w:rPr>
                <w:rFonts w:hint="default" w:ascii="Times New Roman" w:hAnsi="Times New Roman" w:eastAsia="宋体" w:cs="Times New Roman"/>
                <w:color w:val="auto"/>
                <w:sz w:val="24"/>
                <w:szCs w:val="24"/>
                <w:highlight w:val="none"/>
              </w:rPr>
              <w:t>醒目的环境保护图形标志牌。</w:t>
            </w:r>
          </w:p>
          <w:p>
            <w:pPr>
              <w:pStyle w:val="12"/>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eastAsia"/>
                <w:color w:val="auto"/>
                <w:sz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废水排放口规范化：</w:t>
            </w:r>
            <w:r>
              <w:rPr>
                <w:color w:val="auto"/>
                <w:sz w:val="24"/>
                <w:highlight w:val="none"/>
              </w:rPr>
              <w:t>厂区设</w:t>
            </w:r>
            <w:r>
              <w:rPr>
                <w:rFonts w:hint="eastAsia"/>
                <w:color w:val="auto"/>
                <w:sz w:val="24"/>
                <w:highlight w:val="none"/>
                <w:lang w:val="en-US" w:eastAsia="zh-CN"/>
              </w:rPr>
              <w:t>废水</w:t>
            </w:r>
            <w:r>
              <w:rPr>
                <w:color w:val="auto"/>
                <w:sz w:val="24"/>
                <w:highlight w:val="none"/>
              </w:rPr>
              <w:t>总排水口1个</w:t>
            </w:r>
            <w:r>
              <w:rPr>
                <w:rFonts w:hint="eastAsia"/>
                <w:color w:val="auto"/>
                <w:sz w:val="24"/>
                <w:highlight w:val="none"/>
                <w:lang w:eastAsia="zh-CN"/>
              </w:rPr>
              <w:t>，</w:t>
            </w:r>
            <w:r>
              <w:rPr>
                <w:rFonts w:hint="eastAsia"/>
                <w:color w:val="auto"/>
                <w:sz w:val="24"/>
                <w:highlight w:val="none"/>
                <w:lang w:val="en-US" w:eastAsia="zh-CN"/>
              </w:rPr>
              <w:t>已</w:t>
            </w:r>
            <w:r>
              <w:rPr>
                <w:color w:val="auto"/>
                <w:sz w:val="24"/>
                <w:highlight w:val="none"/>
              </w:rPr>
              <w:t>按国家《环境保护图形标志》（15562.1-1995）的规定，</w:t>
            </w:r>
            <w:r>
              <w:rPr>
                <w:rFonts w:hint="eastAsia"/>
                <w:color w:val="auto"/>
                <w:sz w:val="24"/>
                <w:highlight w:val="none"/>
                <w:lang w:val="en-US" w:eastAsia="zh-CN"/>
              </w:rPr>
              <w:t>在</w:t>
            </w:r>
            <w:r>
              <w:rPr>
                <w:color w:val="auto"/>
                <w:sz w:val="24"/>
                <w:highlight w:val="none"/>
              </w:rPr>
              <w:t>靠近采样点的醒目处设置国家环保总局统一制作的环境保护图形标志牌。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噪声：</w:t>
            </w:r>
            <w:r>
              <w:rPr>
                <w:rFonts w:ascii="宋体" w:hAnsi="宋体"/>
                <w:color w:val="auto"/>
                <w:sz w:val="24"/>
                <w:highlight w:val="none"/>
              </w:rPr>
              <w:t>按《工业企业厂界环境噪声排放标准》</w:t>
            </w:r>
            <w:r>
              <w:rPr>
                <w:rFonts w:hint="eastAsia"/>
                <w:color w:val="auto"/>
                <w:sz w:val="24"/>
                <w:highlight w:val="none"/>
                <w:lang w:eastAsia="zh-CN"/>
              </w:rPr>
              <w:t>（</w:t>
            </w:r>
            <w:r>
              <w:rPr>
                <w:color w:val="auto"/>
                <w:sz w:val="24"/>
                <w:highlight w:val="none"/>
              </w:rPr>
              <w:t>GB12348-2008</w:t>
            </w:r>
            <w:r>
              <w:rPr>
                <w:rFonts w:hint="eastAsia"/>
                <w:color w:val="auto"/>
                <w:sz w:val="24"/>
                <w:highlight w:val="none"/>
                <w:lang w:eastAsia="zh-CN"/>
              </w:rPr>
              <w:t>）</w:t>
            </w:r>
            <w:r>
              <w:rPr>
                <w:rFonts w:ascii="宋体" w:hAnsi="宋体"/>
                <w:color w:val="auto"/>
                <w:sz w:val="24"/>
                <w:highlight w:val="none"/>
              </w:rPr>
              <w:t>的规定，设置环境噪声监测点，并在该处附近醒目处设置环境保护图形标志牌</w:t>
            </w:r>
            <w:r>
              <w:rPr>
                <w:rFonts w:hint="eastAsia" w:ascii="宋体" w:hAnsi="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ascii="Times New Roman" w:hAnsi="Times New Roman" w:eastAsia="宋体" w:cs="Times New Roman"/>
                <w:color w:val="auto"/>
                <w:sz w:val="24"/>
                <w:szCs w:val="24"/>
                <w:highlight w:val="none"/>
              </w:rPr>
              <w:t>固体废物：</w:t>
            </w:r>
            <w:r>
              <w:rPr>
                <w:rFonts w:hint="eastAsia" w:ascii="Times New Roman" w:hAnsi="Times New Roman" w:eastAsia="宋体" w:cs="Times New Roman"/>
                <w:color w:val="auto"/>
                <w:sz w:val="24"/>
                <w:szCs w:val="24"/>
                <w:highlight w:val="none"/>
                <w:lang w:val="en-US" w:eastAsia="zh-CN"/>
              </w:rPr>
              <w:t>固体废物储存场所设置了</w:t>
            </w:r>
            <w:r>
              <w:rPr>
                <w:rFonts w:hint="default" w:ascii="Times New Roman" w:hAnsi="Times New Roman" w:cs="Times New Roman"/>
                <w:color w:val="auto"/>
                <w:sz w:val="24"/>
                <w:szCs w:val="24"/>
                <w:highlight w:val="none"/>
              </w:rPr>
              <w:t>环境保护图形标志牌</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固体废物堆放场所</w:t>
            </w:r>
            <w:r>
              <w:rPr>
                <w:rFonts w:hint="eastAsia" w:ascii="Times New Roman" w:hAnsi="Times New Roman" w:eastAsia="宋体" w:cs="Times New Roman"/>
                <w:color w:val="auto"/>
                <w:sz w:val="24"/>
                <w:szCs w:val="24"/>
                <w:highlight w:val="none"/>
                <w:lang w:val="en-US" w:eastAsia="zh-CN"/>
              </w:rPr>
              <w:t>设置了</w:t>
            </w:r>
            <w:r>
              <w:rPr>
                <w:rFonts w:hint="default" w:ascii="Times New Roman" w:hAnsi="Times New Roman" w:eastAsia="宋体" w:cs="Times New Roman"/>
                <w:color w:val="auto"/>
                <w:sz w:val="24"/>
                <w:szCs w:val="24"/>
                <w:highlight w:val="none"/>
              </w:rPr>
              <w:t>防火、防扬散、防渗漏等防止污染环境的措施，禁止将危险废物混入非危险废物中贮存，非危险固体废物应采用容器收集存放，危险废物设置</w:t>
            </w:r>
            <w:r>
              <w:rPr>
                <w:rFonts w:hint="eastAsia" w:ascii="Times New Roman" w:hAnsi="Times New Roman" w:eastAsia="宋体" w:cs="Times New Roman"/>
                <w:color w:val="auto"/>
                <w:sz w:val="24"/>
                <w:szCs w:val="24"/>
                <w:highlight w:val="none"/>
                <w:lang w:val="en-US" w:eastAsia="zh-CN"/>
              </w:rPr>
              <w:t>了</w:t>
            </w:r>
            <w:r>
              <w:rPr>
                <w:rFonts w:hint="default" w:ascii="Times New Roman" w:hAnsi="Times New Roman" w:eastAsia="宋体" w:cs="Times New Roman"/>
                <w:color w:val="auto"/>
                <w:sz w:val="24"/>
                <w:szCs w:val="24"/>
                <w:highlight w:val="none"/>
              </w:rPr>
              <w:t>专用暂存间。</w:t>
            </w:r>
          </w:p>
          <w:p>
            <w:pPr>
              <w:bidi w:val="0"/>
              <w:rPr>
                <w:rFonts w:hint="eastAsia"/>
                <w:b/>
                <w:bCs/>
                <w:color w:val="auto"/>
                <w:highlight w:val="none"/>
                <w:lang w:val="en-US" w:eastAsia="zh-CN"/>
              </w:rPr>
            </w:pPr>
            <w:r>
              <w:rPr>
                <w:rFonts w:hint="eastAsia"/>
                <w:b/>
                <w:bCs/>
                <w:color w:val="auto"/>
                <w:highlight w:val="none"/>
                <w:lang w:val="en-US" w:eastAsia="zh-CN"/>
              </w:rPr>
              <w:t>3.2应急预案备案情况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highlight w:val="none"/>
                <w:lang w:val="en-US" w:eastAsia="zh-CN"/>
              </w:rPr>
              <w:t>企业的突发环境事件应急预案已于2021年01月21日完成备案，唐山市生态环境局高新技术产业开发区分局予以备案，备案编号为130262-2021-002-L。</w:t>
            </w:r>
          </w:p>
          <w:p>
            <w:pPr>
              <w:bidi w:val="0"/>
              <w:rPr>
                <w:rFonts w:hint="eastAsia"/>
                <w:b/>
                <w:bCs/>
                <w:color w:val="auto"/>
                <w:highlight w:val="none"/>
                <w:lang w:val="en-US" w:eastAsia="zh-CN"/>
              </w:rPr>
            </w:pPr>
            <w:r>
              <w:rPr>
                <w:rFonts w:hint="eastAsia"/>
                <w:b/>
                <w:bCs/>
                <w:color w:val="auto"/>
                <w:highlight w:val="none"/>
                <w:lang w:val="en-US" w:eastAsia="zh-CN"/>
              </w:rPr>
              <w:t>3.3自行监测计划和执行报告落实情况</w:t>
            </w:r>
          </w:p>
          <w:p>
            <w:pPr>
              <w:bidi w:val="0"/>
              <w:rPr>
                <w:rFonts w:hint="eastAsia"/>
                <w:color w:val="auto"/>
                <w:highlight w:val="none"/>
                <w:lang w:val="en-US" w:eastAsia="zh-CN"/>
              </w:rPr>
            </w:pPr>
            <w:r>
              <w:rPr>
                <w:rFonts w:hint="eastAsia"/>
                <w:color w:val="auto"/>
                <w:highlight w:val="none"/>
                <w:lang w:val="en-US" w:eastAsia="zh-CN"/>
              </w:rPr>
              <w:t>根据《固定污染源排污许可分类管理名录（2019年版）》，本企业为排污许可登记管理类，在全国排污许可证管理信息平台完成了排污填报，取得了固定污染源排污登记回执。</w:t>
            </w:r>
          </w:p>
          <w:p>
            <w:pPr>
              <w:bidi w:val="0"/>
              <w:rPr>
                <w:rFonts w:hint="eastAsia"/>
                <w:b/>
                <w:bCs/>
                <w:color w:val="auto"/>
                <w:highlight w:val="none"/>
                <w:lang w:val="en-US" w:eastAsia="zh-CN"/>
              </w:rPr>
            </w:pPr>
            <w:r>
              <w:rPr>
                <w:rFonts w:hint="eastAsia"/>
                <w:b/>
                <w:bCs/>
                <w:color w:val="auto"/>
                <w:highlight w:val="none"/>
                <w:lang w:val="en-US" w:eastAsia="zh-CN"/>
              </w:rPr>
              <w:t>3.4信访事件</w:t>
            </w:r>
          </w:p>
          <w:p>
            <w:pPr>
              <w:bidi w:val="0"/>
              <w:rPr>
                <w:rFonts w:hint="default"/>
                <w:color w:val="auto"/>
                <w:highlight w:val="none"/>
                <w:lang w:val="en-US" w:eastAsia="zh-CN"/>
              </w:rPr>
            </w:pPr>
            <w:r>
              <w:rPr>
                <w:rFonts w:hint="eastAsia"/>
                <w:color w:val="auto"/>
                <w:highlight w:val="none"/>
                <w:lang w:val="en-US" w:eastAsia="zh-CN"/>
              </w:rPr>
              <w:t xml:space="preserve">企业无信访事件发生。 </w:t>
            </w:r>
          </w:p>
          <w:p>
            <w:pPr>
              <w:numPr>
                <w:ilvl w:val="0"/>
                <w:numId w:val="0"/>
              </w:numPr>
              <w:bidi w:val="0"/>
              <w:ind w:leftChars="0"/>
              <w:rPr>
                <w:rFonts w:hint="eastAsia"/>
                <w:b/>
                <w:bCs/>
                <w:color w:val="auto"/>
                <w:highlight w:val="none"/>
                <w:lang w:val="en-US" w:eastAsia="zh-CN"/>
              </w:rPr>
            </w:pPr>
            <w:r>
              <w:rPr>
                <w:rFonts w:hint="eastAsia"/>
                <w:b/>
                <w:bCs/>
                <w:color w:val="auto"/>
                <w:highlight w:val="none"/>
                <w:lang w:val="en-US" w:eastAsia="zh-CN"/>
              </w:rPr>
              <w:t>4、与该项目有关的主要环境问题</w:t>
            </w:r>
          </w:p>
          <w:p>
            <w:pPr>
              <w:rPr>
                <w:rFonts w:hint="eastAsia"/>
                <w:color w:val="auto"/>
                <w:highlight w:val="none"/>
                <w:lang w:val="en-US" w:eastAsia="zh-CN"/>
              </w:rPr>
            </w:pPr>
            <w:r>
              <w:rPr>
                <w:rFonts w:hint="default"/>
                <w:color w:val="auto"/>
                <w:highlight w:val="none"/>
              </w:rPr>
              <w:t>企业现有项目已通过验收，</w:t>
            </w:r>
            <w:r>
              <w:rPr>
                <w:rFonts w:hint="eastAsia"/>
                <w:color w:val="auto"/>
                <w:highlight w:val="none"/>
                <w:lang w:val="en-US" w:eastAsia="zh-CN"/>
              </w:rPr>
              <w:t>废气、</w:t>
            </w:r>
            <w:r>
              <w:rPr>
                <w:rFonts w:hint="default"/>
                <w:color w:val="auto"/>
                <w:highlight w:val="none"/>
              </w:rPr>
              <w:t>废水可实现达标排放，固体废物去向合理，</w:t>
            </w:r>
            <w:r>
              <w:rPr>
                <w:rFonts w:hint="eastAsia"/>
                <w:color w:val="auto"/>
                <w:highlight w:val="none"/>
                <w:lang w:val="en-US" w:eastAsia="zh-CN"/>
              </w:rPr>
              <w:t>废气排放口、</w:t>
            </w:r>
            <w:r>
              <w:rPr>
                <w:rFonts w:hint="default"/>
                <w:color w:val="auto"/>
                <w:highlight w:val="none"/>
              </w:rPr>
              <w:t>废水排放口和固废暂存处均</w:t>
            </w:r>
            <w:r>
              <w:rPr>
                <w:rFonts w:hint="eastAsia"/>
                <w:color w:val="auto"/>
                <w:highlight w:val="none"/>
                <w:lang w:val="en-US" w:eastAsia="zh-CN"/>
              </w:rPr>
              <w:t>已按照环保</w:t>
            </w:r>
            <w:r>
              <w:rPr>
                <w:rFonts w:hint="default"/>
                <w:color w:val="auto"/>
                <w:highlight w:val="none"/>
              </w:rPr>
              <w:t>相关要求进行了排污口规范化建设</w:t>
            </w:r>
            <w:r>
              <w:rPr>
                <w:rFonts w:hint="eastAsia"/>
                <w:color w:val="auto"/>
                <w:highlight w:val="none"/>
                <w:lang w:eastAsia="zh-CN"/>
              </w:rPr>
              <w:t>，</w:t>
            </w:r>
            <w:r>
              <w:rPr>
                <w:rFonts w:hint="eastAsia"/>
                <w:color w:val="auto"/>
                <w:highlight w:val="none"/>
                <w:lang w:val="en-US" w:eastAsia="zh-CN"/>
              </w:rPr>
              <w:t>企业目前主要存在的主要环境问题为：</w:t>
            </w:r>
          </w:p>
          <w:p>
            <w:pPr>
              <w:numPr>
                <w:ilvl w:val="0"/>
                <w:numId w:val="22"/>
              </w:numPr>
              <w:rPr>
                <w:rFonts w:hint="eastAsia"/>
                <w:color w:val="auto"/>
                <w:highlight w:val="none"/>
                <w:lang w:val="en-US" w:eastAsia="zh-CN"/>
              </w:rPr>
            </w:pPr>
            <w:r>
              <w:rPr>
                <w:rFonts w:hint="eastAsia"/>
                <w:color w:val="auto"/>
                <w:highlight w:val="none"/>
                <w:lang w:val="en-US" w:eastAsia="zh-CN"/>
              </w:rPr>
              <w:t>厂界噪声不满足相应标准要求；</w:t>
            </w:r>
          </w:p>
          <w:p>
            <w:pPr>
              <w:numPr>
                <w:ilvl w:val="0"/>
                <w:numId w:val="22"/>
              </w:numPr>
              <w:rPr>
                <w:rFonts w:hint="eastAsia"/>
                <w:color w:val="auto"/>
                <w:highlight w:val="none"/>
                <w:lang w:val="en-US" w:eastAsia="zh-CN"/>
              </w:rPr>
            </w:pPr>
            <w:r>
              <w:rPr>
                <w:rFonts w:hint="eastAsia"/>
                <w:color w:val="auto"/>
                <w:highlight w:val="none"/>
                <w:lang w:val="en-US" w:eastAsia="zh-CN"/>
              </w:rPr>
              <w:t>烘干、烧结还原过程产生的有机废气采用单级活性炭治理，不满足现行环保要求。</w:t>
            </w:r>
          </w:p>
          <w:p>
            <w:pPr>
              <w:numPr>
                <w:ilvl w:val="0"/>
                <w:numId w:val="4"/>
              </w:numPr>
              <w:ind w:left="0" w:leftChars="0" w:firstLine="0" w:firstLineChars="0"/>
              <w:rPr>
                <w:rFonts w:hint="eastAsia"/>
                <w:b/>
                <w:bCs/>
                <w:color w:val="auto"/>
                <w:highlight w:val="none"/>
                <w:lang w:val="en-US" w:eastAsia="zh-CN"/>
              </w:rPr>
            </w:pPr>
            <w:r>
              <w:rPr>
                <w:rFonts w:hint="eastAsia"/>
                <w:b/>
                <w:bCs/>
                <w:color w:val="auto"/>
                <w:highlight w:val="none"/>
                <w:lang w:val="en-US" w:eastAsia="zh-CN"/>
              </w:rPr>
              <w:t>整改措施</w:t>
            </w:r>
          </w:p>
          <w:p>
            <w:pPr>
              <w:numPr>
                <w:ilvl w:val="0"/>
                <w:numId w:val="23"/>
              </w:numPr>
              <w:bidi w:val="0"/>
              <w:rPr>
                <w:rFonts w:hint="eastAsia"/>
                <w:color w:val="auto"/>
                <w:lang w:val="en-US" w:eastAsia="zh-CN"/>
              </w:rPr>
            </w:pPr>
            <w:r>
              <w:rPr>
                <w:rFonts w:hint="eastAsia"/>
                <w:color w:val="auto"/>
                <w:lang w:val="en-US" w:eastAsia="zh-CN"/>
              </w:rPr>
              <w:t>本项目建成后淘汰部分设备，同时调整平面布局，经全厂噪声预测，项目建成后厂界噪声可满足相应标准要求；</w:t>
            </w:r>
          </w:p>
          <w:p>
            <w:pPr>
              <w:numPr>
                <w:ilvl w:val="0"/>
                <w:numId w:val="23"/>
              </w:numPr>
              <w:bidi w:val="0"/>
              <w:rPr>
                <w:rFonts w:hint="default"/>
                <w:color w:val="auto"/>
                <w:lang w:val="en-US" w:eastAsia="zh-CN"/>
              </w:rPr>
            </w:pPr>
            <w:r>
              <w:rPr>
                <w:rFonts w:hint="eastAsia"/>
                <w:color w:val="auto"/>
                <w:lang w:val="en-US" w:eastAsia="zh-CN"/>
              </w:rPr>
              <w:t>本项目建成后，淘汰现有活性炭吸附装置，将其替换为两级活性炭吸附装置，并根据相关要求填装活性炭，印刷、印刷烘干、覆膜过程产生的废气与石墨烯电发热体生产线烘干及烧结还原废气，采用风机引入1套两级活性炭吸附装置进行处理，处理后与喷镀废气一起通过1根30m高排气筒排放至大气中，可满足现行环保要求。</w:t>
            </w:r>
          </w:p>
          <w:p>
            <w:pPr>
              <w:bidi w:val="0"/>
              <w:ind w:left="0" w:leftChars="0" w:firstLine="0" w:firstLineChars="0"/>
              <w:rPr>
                <w:rFonts w:hint="default"/>
                <w:b/>
                <w:bCs/>
                <w:color w:val="auto"/>
                <w:lang w:val="en-US" w:eastAsia="zh-CN"/>
              </w:rPr>
            </w:pPr>
            <w:r>
              <w:rPr>
                <w:rFonts w:hint="eastAsia"/>
                <w:b/>
                <w:bCs/>
                <w:color w:val="auto"/>
                <w:lang w:val="en-US" w:eastAsia="zh-CN"/>
              </w:rPr>
              <w:t>6、与项目相关的其他问题</w:t>
            </w:r>
          </w:p>
          <w:p>
            <w:pPr>
              <w:bidi w:val="0"/>
              <w:rPr>
                <w:rFonts w:hint="default"/>
                <w:color w:val="auto"/>
                <w:lang w:val="en-US" w:eastAsia="zh-CN"/>
              </w:rPr>
            </w:pPr>
            <w:r>
              <w:rPr>
                <w:rFonts w:hint="eastAsia"/>
                <w:color w:val="auto"/>
                <w:lang w:val="en-US" w:eastAsia="zh-CN"/>
              </w:rPr>
              <w:t>现有工程镀膜、烘干及烧结还原废气排放口污染物排放执行《电子工业污染物排放标准（二次征求意见稿）》（环境保护部办公厅 环办标征函[2018]11号）表5大气污染物特别排放限值，但由于该标准至今尚未发布，本次评价建议镀膜、烘干及烧结还原废气排放口污染物中氟化物、氯化氢有组织排放执行《大气污染物综合排放标准》（GB16297-1996）中相关限值：氯化物最高允许排放浓度100mg/m</w:t>
            </w:r>
            <w:r>
              <w:rPr>
                <w:rFonts w:hint="eastAsia"/>
                <w:color w:val="auto"/>
                <w:vertAlign w:val="superscript"/>
                <w:lang w:val="en-US" w:eastAsia="zh-CN"/>
              </w:rPr>
              <w:t>3</w:t>
            </w:r>
            <w:r>
              <w:rPr>
                <w:rFonts w:hint="eastAsia"/>
                <w:color w:val="auto"/>
                <w:lang w:val="en-US" w:eastAsia="zh-CN"/>
              </w:rPr>
              <w:t>，最高允许排放速率1.4kg/h，氟化物最高允许排放浓度9.0mg/m</w:t>
            </w:r>
            <w:r>
              <w:rPr>
                <w:rFonts w:hint="eastAsia"/>
                <w:color w:val="auto"/>
                <w:vertAlign w:val="superscript"/>
                <w:lang w:val="en-US" w:eastAsia="zh-CN"/>
              </w:rPr>
              <w:t>3</w:t>
            </w:r>
            <w:r>
              <w:rPr>
                <w:rFonts w:hint="eastAsia"/>
                <w:color w:val="auto"/>
                <w:lang w:val="en-US" w:eastAsia="zh-CN"/>
              </w:rPr>
              <w:t>，最高允许排放速率0.59kg/h，非甲烷总烃有组织排放执行</w:t>
            </w:r>
            <w:r>
              <w:rPr>
                <w:rFonts w:hint="default" w:ascii="Times New Roman" w:hAnsi="Times New Roman" w:eastAsia="宋体" w:cs="Times New Roman"/>
                <w:color w:val="auto"/>
                <w:sz w:val="24"/>
                <w:szCs w:val="24"/>
              </w:rPr>
              <w:t>《工业企业挥发性有机物排放控制标准》（DB13 2322-2016）表1中</w:t>
            </w:r>
            <w:r>
              <w:rPr>
                <w:rFonts w:hint="default" w:ascii="Times New Roman" w:hAnsi="Times New Roman" w:eastAsia="宋体" w:cs="Times New Roman"/>
                <w:color w:val="auto"/>
                <w:sz w:val="24"/>
                <w:szCs w:val="24"/>
                <w:lang w:eastAsia="zh-CN"/>
              </w:rPr>
              <w:t>其他行业</w:t>
            </w:r>
            <w:r>
              <w:rPr>
                <w:rFonts w:hint="default" w:ascii="Times New Roman" w:hAnsi="Times New Roman" w:eastAsia="宋体" w:cs="Times New Roman"/>
                <w:color w:val="auto"/>
                <w:sz w:val="24"/>
                <w:szCs w:val="24"/>
              </w:rPr>
              <w:t>最高允许排放浓度：非甲烷总烃</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0mg/</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，排气筒高度不低于15m，且应高出周围200m半径范围的建筑5m以上。同时企业承诺氯化氢排放浓度不高于10mg/m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，氟化物排放浓度不高于3mg/m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，非甲烷总烃排放浓度不高于50mg/m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。待</w:t>
            </w:r>
            <w:r>
              <w:rPr>
                <w:rFonts w:hint="eastAsia"/>
                <w:color w:val="auto"/>
                <w:lang w:val="en-US" w:eastAsia="zh-CN"/>
              </w:rPr>
              <w:t>《电子工业污染物排放标准》发布正式标准后，可参照执行。</w:t>
            </w: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tc>
      </w:tr>
    </w:tbl>
    <w:p>
      <w:pPr>
        <w:rPr>
          <w:rFonts w:hint="eastAsia" w:ascii="黑体" w:hAnsi="黑体" w:eastAsia="黑体" w:cs="Times New Roman"/>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cs="Times New Roman"/>
          <w:snapToGrid w:val="0"/>
          <w:color w:val="auto"/>
          <w:sz w:val="30"/>
          <w:szCs w:val="30"/>
          <w:highlight w:val="none"/>
        </w:rPr>
      </w:pPr>
      <w:bookmarkStart w:id="4" w:name="_Toc31686"/>
      <w:r>
        <w:rPr>
          <w:rFonts w:hint="eastAsia" w:ascii="黑体" w:hAnsi="黑体" w:eastAsia="黑体" w:cs="Times New Roman"/>
          <w:snapToGrid w:val="0"/>
          <w:color w:val="auto"/>
          <w:sz w:val="30"/>
          <w:szCs w:val="30"/>
          <w:highlight w:val="none"/>
        </w:rPr>
        <w:t>三、区域环境质量现状、环境保护目标及评价标准</w:t>
      </w:r>
      <w:bookmarkEnd w:id="4"/>
    </w:p>
    <w:tbl>
      <w:tblPr>
        <w:tblStyle w:val="24"/>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54" w:type="dxa"/>
            <w:noWrap w:val="0"/>
            <w:vAlign w:val="center"/>
          </w:tcPr>
          <w:p>
            <w:pPr>
              <w:pStyle w:val="32"/>
              <w:bidi w:val="0"/>
              <w:rPr>
                <w:rFonts w:hint="eastAsia"/>
                <w:color w:val="auto"/>
                <w:sz w:val="24"/>
                <w:szCs w:val="24"/>
                <w:highlight w:val="none"/>
              </w:rPr>
            </w:pPr>
            <w:r>
              <w:rPr>
                <w:rFonts w:hint="eastAsia"/>
                <w:color w:val="auto"/>
                <w:sz w:val="24"/>
                <w:szCs w:val="24"/>
                <w:highlight w:val="none"/>
              </w:rPr>
              <w:t>区域</w:t>
            </w:r>
          </w:p>
          <w:p>
            <w:pPr>
              <w:pStyle w:val="32"/>
              <w:bidi w:val="0"/>
              <w:rPr>
                <w:rFonts w:hint="eastAsia"/>
                <w:color w:val="auto"/>
                <w:sz w:val="24"/>
                <w:szCs w:val="24"/>
                <w:highlight w:val="none"/>
              </w:rPr>
            </w:pPr>
            <w:r>
              <w:rPr>
                <w:rFonts w:hint="eastAsia"/>
                <w:color w:val="auto"/>
                <w:sz w:val="24"/>
                <w:szCs w:val="24"/>
                <w:highlight w:val="none"/>
              </w:rPr>
              <w:t>环境</w:t>
            </w:r>
          </w:p>
          <w:p>
            <w:pPr>
              <w:pStyle w:val="32"/>
              <w:bidi w:val="0"/>
              <w:rPr>
                <w:rFonts w:hint="eastAsia"/>
                <w:color w:val="auto"/>
                <w:sz w:val="24"/>
                <w:szCs w:val="24"/>
                <w:highlight w:val="none"/>
              </w:rPr>
            </w:pPr>
            <w:r>
              <w:rPr>
                <w:rFonts w:hint="eastAsia"/>
                <w:color w:val="auto"/>
                <w:sz w:val="24"/>
                <w:szCs w:val="24"/>
                <w:highlight w:val="none"/>
              </w:rPr>
              <w:t>质量</w:t>
            </w:r>
          </w:p>
          <w:p>
            <w:pPr>
              <w:pStyle w:val="32"/>
              <w:bidi w:val="0"/>
              <w:rPr>
                <w:color w:val="auto"/>
                <w:sz w:val="24"/>
                <w:szCs w:val="24"/>
                <w:highlight w:val="none"/>
              </w:rPr>
            </w:pPr>
            <w:r>
              <w:rPr>
                <w:rFonts w:hint="eastAsia"/>
                <w:color w:val="auto"/>
                <w:sz w:val="24"/>
                <w:szCs w:val="24"/>
                <w:highlight w:val="none"/>
              </w:rPr>
              <w:t>现状</w:t>
            </w:r>
          </w:p>
        </w:tc>
        <w:tc>
          <w:tcPr>
            <w:tcW w:w="8500"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bCs/>
                <w:color w:val="auto"/>
                <w:highlight w:val="none"/>
              </w:rPr>
            </w:pPr>
            <w:r>
              <w:rPr>
                <w:rFonts w:hint="default"/>
                <w:b/>
                <w:bCs/>
                <w:color w:val="auto"/>
                <w:highlight w:val="none"/>
              </w:rPr>
              <w:t>1</w:t>
            </w:r>
            <w:r>
              <w:rPr>
                <w:rFonts w:hint="eastAsia"/>
                <w:b/>
                <w:bCs/>
                <w:color w:val="auto"/>
                <w:highlight w:val="none"/>
                <w:lang w:eastAsia="zh-CN"/>
              </w:rPr>
              <w:t>、</w:t>
            </w:r>
            <w:r>
              <w:rPr>
                <w:rFonts w:hint="default"/>
                <w:b/>
                <w:bCs/>
                <w:color w:val="auto"/>
                <w:highlight w:val="none"/>
              </w:rPr>
              <w:t>环境空气</w:t>
            </w:r>
          </w:p>
          <w:p>
            <w:pPr>
              <w:bidi w:val="0"/>
              <w:rPr>
                <w:rFonts w:hint="default"/>
                <w:color w:val="auto"/>
                <w:highlight w:val="none"/>
              </w:rPr>
            </w:pPr>
            <w:r>
              <w:rPr>
                <w:rFonts w:hint="eastAsia"/>
                <w:color w:val="auto"/>
                <w:highlight w:val="none"/>
              </w:rPr>
              <w:t>（1）</w:t>
            </w:r>
            <w:r>
              <w:rPr>
                <w:rFonts w:hint="default"/>
                <w:color w:val="auto"/>
                <w:highlight w:val="none"/>
              </w:rPr>
              <w:t>项目所在区域环境质量达标情况</w:t>
            </w:r>
          </w:p>
          <w:p>
            <w:pPr>
              <w:bidi w:val="0"/>
              <w:rPr>
                <w:rFonts w:hint="default"/>
                <w:color w:val="auto"/>
                <w:highlight w:val="none"/>
              </w:rPr>
            </w:pPr>
            <w:r>
              <w:rPr>
                <w:rFonts w:hint="default"/>
                <w:color w:val="auto"/>
                <w:highlight w:val="none"/>
              </w:rPr>
              <w:t>项目所在区域环境空气质量现状数据采用唐山市生态环境局公开发布的</w:t>
            </w:r>
            <w:r>
              <w:rPr>
                <w:rFonts w:hint="default"/>
                <w:color w:val="auto"/>
                <w:highlight w:val="none"/>
                <w:lang w:val="zh-CN"/>
              </w:rPr>
              <w:t>《20</w:t>
            </w:r>
            <w:r>
              <w:rPr>
                <w:rFonts w:hint="eastAsia"/>
                <w:color w:val="auto"/>
                <w:highlight w:val="none"/>
                <w:lang w:val="en-US" w:eastAsia="zh-CN"/>
              </w:rPr>
              <w:t>22</w:t>
            </w:r>
            <w:r>
              <w:rPr>
                <w:rFonts w:hint="default"/>
                <w:color w:val="auto"/>
                <w:highlight w:val="none"/>
                <w:lang w:val="zh-CN"/>
              </w:rPr>
              <w:t>年唐山市</w:t>
            </w:r>
            <w:r>
              <w:rPr>
                <w:rFonts w:hint="eastAsia"/>
                <w:color w:val="auto"/>
                <w:highlight w:val="none"/>
                <w:lang w:val="en-US" w:eastAsia="zh-CN"/>
              </w:rPr>
              <w:t>生态</w:t>
            </w:r>
            <w:r>
              <w:rPr>
                <w:rFonts w:hint="default"/>
                <w:color w:val="auto"/>
                <w:highlight w:val="none"/>
                <w:lang w:val="zh-CN"/>
              </w:rPr>
              <w:t>环境状况公报》中唐山市空气质量数据，</w:t>
            </w:r>
            <w:r>
              <w:rPr>
                <w:rFonts w:hint="default"/>
                <w:color w:val="auto"/>
                <w:highlight w:val="none"/>
              </w:rPr>
              <w:t>具体情况见下表。</w:t>
            </w:r>
          </w:p>
          <w:p>
            <w:pPr>
              <w:pStyle w:val="31"/>
              <w:bidi w:val="0"/>
              <w:rPr>
                <w:rFonts w:hint="default"/>
                <w:color w:val="auto"/>
                <w:highlight w:val="none"/>
              </w:rPr>
            </w:pPr>
            <w:r>
              <w:rPr>
                <w:rFonts w:hint="default"/>
                <w:color w:val="auto"/>
                <w:sz w:val="21"/>
                <w:szCs w:val="21"/>
                <w:highlight w:val="none"/>
              </w:rPr>
              <w:t>表</w:t>
            </w:r>
            <w:r>
              <w:rPr>
                <w:rFonts w:hint="eastAsia"/>
                <w:color w:val="auto"/>
                <w:sz w:val="21"/>
                <w:szCs w:val="21"/>
                <w:highlight w:val="none"/>
                <w:lang w:val="en-US" w:eastAsia="zh-CN"/>
              </w:rPr>
              <w:t xml:space="preserve">22  </w:t>
            </w: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年区域环境质量现状评价表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1860"/>
              <w:gridCol w:w="1668"/>
              <w:gridCol w:w="1539"/>
              <w:gridCol w:w="1230"/>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13.3</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32</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67</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95.7</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105.7</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1500</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37.5</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113.8</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eastAsia="宋体" w:cs="Times New Roman"/>
                <w:color w:val="auto"/>
                <w:kern w:val="2"/>
                <w:sz w:val="24"/>
                <w:szCs w:val="21"/>
                <w:highlight w:val="none"/>
                <w:shd w:val="clear" w:color="auto" w:fill="auto"/>
                <w:lang w:val="en-US" w:eastAsia="zh-CN" w:bidi="ar"/>
              </w:rPr>
            </w:pPr>
            <w:r>
              <w:rPr>
                <w:rFonts w:hint="default" w:ascii="Times New Roman" w:hAnsi="Times New Roman" w:eastAsia="宋体" w:cs="Times New Roman"/>
                <w:color w:val="auto"/>
                <w:kern w:val="2"/>
                <w:sz w:val="24"/>
                <w:szCs w:val="21"/>
                <w:highlight w:val="none"/>
                <w:shd w:val="clear" w:color="auto" w:fill="auto"/>
                <w:lang w:val="en-US" w:eastAsia="zh-CN" w:bidi="ar"/>
              </w:rPr>
              <w:t>由上表可知，SO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的年平均质量浓度不达标，O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的日最大8h平均第90百分位浓度不达标，故项目所在区域环境空气质量不达标，属于不达标区。</w:t>
            </w:r>
          </w:p>
          <w:p>
            <w:pPr>
              <w:bidi w:val="0"/>
              <w:rPr>
                <w:rFonts w:hint="default"/>
                <w:color w:val="auto"/>
                <w:highlight w:val="none"/>
              </w:rPr>
            </w:pP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《京津冀及周边地区、汾渭平原2020—2021年秋冬季大气污染综合治理攻坚行动方案》、《唐山市2023年第一季度大气污染综合治理工作方案》</w:t>
            </w:r>
            <w:r>
              <w:rPr>
                <w:rFonts w:hint="default" w:ascii="Times New Roman" w:hAnsi="Times New Roman" w:eastAsia="宋体" w:cs="Times New Roman"/>
                <w:color w:val="auto"/>
                <w:sz w:val="24"/>
                <w:szCs w:val="24"/>
                <w:highlight w:val="none"/>
                <w:lang w:val="en-US" w:eastAsia="zh-CN"/>
              </w:rPr>
              <w:t>可知，按照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分级、分类、分区域、分气象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原则，实施精准治理、精细管控，做到问题、时间、区位、对象和措施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五个精准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，推动大气环境质量持续有效改善，项目所在区域空气质量将会逐步得到改善。</w:t>
            </w:r>
          </w:p>
          <w:p>
            <w:pPr>
              <w:bidi w:val="0"/>
              <w:rPr>
                <w:rFonts w:hint="default"/>
                <w:color w:val="auto"/>
                <w:highlight w:val="none"/>
              </w:rPr>
            </w:pPr>
            <w:r>
              <w:rPr>
                <w:rFonts w:hint="eastAsia"/>
                <w:color w:val="auto"/>
                <w:highlight w:val="none"/>
              </w:rPr>
              <w:t>（2）</w:t>
            </w:r>
            <w:r>
              <w:rPr>
                <w:rFonts w:hint="default"/>
                <w:color w:val="auto"/>
                <w:highlight w:val="none"/>
              </w:rPr>
              <w:t>项目所在区域污染物环境质量现状</w:t>
            </w:r>
          </w:p>
          <w:p>
            <w:pPr>
              <w:bidi w:val="0"/>
              <w:rPr>
                <w:rFonts w:hint="default"/>
                <w:color w:val="auto"/>
                <w:highlight w:val="none"/>
              </w:rPr>
            </w:pPr>
            <w:r>
              <w:rPr>
                <w:rFonts w:hint="eastAsia"/>
                <w:color w:val="auto"/>
                <w:highlight w:val="none"/>
              </w:rPr>
              <w:t>①</w:t>
            </w:r>
            <w:r>
              <w:rPr>
                <w:rFonts w:hint="default"/>
                <w:color w:val="auto"/>
                <w:highlight w:val="none"/>
              </w:rPr>
              <w:t>基本污染物环境质量现状评价</w:t>
            </w:r>
          </w:p>
          <w:p>
            <w:pPr>
              <w:bidi w:val="0"/>
              <w:rPr>
                <w:rFonts w:hint="eastAsia"/>
                <w:color w:val="auto"/>
                <w:szCs w:val="24"/>
                <w:highlight w:val="none"/>
                <w:lang w:val="en-US" w:eastAsia="zh-CN"/>
              </w:rPr>
            </w:pPr>
            <w:r>
              <w:rPr>
                <w:rFonts w:hint="eastAsia" w:ascii="Times New Roman" w:hAnsi="Times New Roman" w:eastAsia="宋体" w:cs="Times New Roman"/>
                <w:color w:val="auto"/>
                <w:sz w:val="24"/>
                <w:szCs w:val="21"/>
                <w:highlight w:val="none"/>
                <w:shd w:val="clear" w:color="auto" w:fill="auto"/>
                <w:lang w:val="en-US" w:eastAsia="zh-CN"/>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w:t>
            </w:r>
            <w:r>
              <w:rPr>
                <w:rFonts w:hint="eastAsia" w:ascii="Times New Roman" w:hAnsi="Times New Roman" w:cs="Times New Roman"/>
                <w:color w:val="auto"/>
                <w:sz w:val="24"/>
                <w:szCs w:val="21"/>
                <w:highlight w:val="none"/>
                <w:shd w:val="clear" w:color="auto" w:fill="auto"/>
                <w:lang w:val="en-US" w:eastAsia="zh-CN"/>
              </w:rPr>
              <w:t>，引用</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202</w:t>
            </w:r>
            <w:r>
              <w:rPr>
                <w:rFonts w:hint="eastAsia"/>
                <w:color w:val="auto"/>
                <w:szCs w:val="24"/>
                <w:highlight w:val="none"/>
                <w:lang w:val="en-US" w:eastAsia="zh-CN"/>
              </w:rPr>
              <w:t>2</w:t>
            </w:r>
            <w:r>
              <w:rPr>
                <w:rFonts w:hint="eastAsia" w:ascii="Times New Roman" w:hAnsi="Times New Roman"/>
                <w:color w:val="auto"/>
                <w:szCs w:val="24"/>
                <w:highlight w:val="none"/>
                <w:lang w:val="en-US" w:eastAsia="zh-CN"/>
              </w:rPr>
              <w:t>年唐山市生态环境状况公报</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中</w:t>
            </w:r>
            <w:r>
              <w:rPr>
                <w:rFonts w:hint="eastAsia"/>
                <w:color w:val="auto"/>
                <w:szCs w:val="24"/>
                <w:highlight w:val="none"/>
                <w:lang w:val="en-US" w:eastAsia="zh-CN"/>
              </w:rPr>
              <w:t>高新技术开发区</w:t>
            </w:r>
            <w:r>
              <w:rPr>
                <w:rFonts w:hint="eastAsia" w:ascii="Times New Roman" w:hAnsi="Times New Roman"/>
                <w:color w:val="auto"/>
                <w:szCs w:val="24"/>
                <w:highlight w:val="none"/>
                <w:lang w:val="en-US" w:eastAsia="zh-CN"/>
              </w:rPr>
              <w:t>环境空气质量数据，环境空气质量数据</w:t>
            </w:r>
            <w:r>
              <w:rPr>
                <w:rFonts w:hint="eastAsia"/>
                <w:color w:val="auto"/>
                <w:szCs w:val="24"/>
                <w:highlight w:val="none"/>
                <w:lang w:val="en-US" w:eastAsia="zh-CN"/>
              </w:rPr>
              <w:t>见下表。</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23</w:t>
            </w:r>
            <w:r>
              <w:rPr>
                <w:rFonts w:hint="default" w:ascii="Times New Roman" w:hAnsi="Times New Roman" w:eastAsia="宋体" w:cs="Times New Roman"/>
                <w:b/>
                <w:bCs/>
                <w:color w:val="auto"/>
                <w:sz w:val="21"/>
                <w:szCs w:val="21"/>
                <w:highlight w:val="none"/>
              </w:rPr>
              <w:t xml:space="preserve">  202</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年</w:t>
            </w:r>
            <w:r>
              <w:rPr>
                <w:rFonts w:hint="eastAsia" w:cs="Times New Roman"/>
                <w:b/>
                <w:bCs/>
                <w:color w:val="auto"/>
                <w:sz w:val="21"/>
                <w:szCs w:val="21"/>
                <w:highlight w:val="none"/>
                <w:lang w:val="en-US" w:eastAsia="zh-CN"/>
              </w:rPr>
              <w:t>高新技术开发区</w:t>
            </w:r>
            <w:r>
              <w:rPr>
                <w:rFonts w:hint="default" w:ascii="Times New Roman" w:hAnsi="Times New Roman" w:eastAsia="宋体" w:cs="Times New Roman"/>
                <w:b/>
                <w:bCs/>
                <w:color w:val="auto"/>
                <w:sz w:val="21"/>
                <w:szCs w:val="21"/>
                <w:highlight w:val="none"/>
              </w:rPr>
              <w:t>环境空气质量浓度值情况</w:t>
            </w:r>
            <w:r>
              <w:rPr>
                <w:rFonts w:hint="eastAsia"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3"/>
              <w:gridCol w:w="1860"/>
              <w:gridCol w:w="1668"/>
              <w:gridCol w:w="1539"/>
              <w:gridCol w:w="1230"/>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15.0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77.5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85.7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94.3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1600</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40.0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80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113.8 </w:t>
                  </w:r>
                </w:p>
              </w:tc>
              <w:tc>
                <w:tcPr>
                  <w:tcW w:w="112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超标</w:t>
                  </w:r>
                </w:p>
              </w:tc>
            </w:tr>
          </w:tbl>
          <w:p>
            <w:pPr>
              <w:keepNext w:val="0"/>
              <w:keepLines w:val="0"/>
              <w:pageBreakBefore w:val="0"/>
              <w:widowControl w:val="0"/>
              <w:kinsoku/>
              <w:wordWrap/>
              <w:overflowPunct/>
              <w:topLinePunct w:val="0"/>
              <w:autoSpaceDE/>
              <w:autoSpaceDN/>
              <w:bidi w:val="0"/>
              <w:adjustRightInd/>
              <w:snapToGrid/>
              <w:spacing w:line="480" w:lineRule="exact"/>
              <w:ind w:firstLine="500" w:firstLineChars="200"/>
              <w:textAlignment w:val="auto"/>
              <w:rPr>
                <w:rFonts w:hint="eastAsia"/>
                <w:color w:val="auto"/>
                <w:spacing w:val="5"/>
                <w:szCs w:val="21"/>
                <w:highlight w:val="none"/>
              </w:rPr>
            </w:pPr>
            <w:r>
              <w:rPr>
                <w:color w:val="auto"/>
                <w:spacing w:val="5"/>
                <w:szCs w:val="21"/>
                <w:highlight w:val="none"/>
              </w:rPr>
              <w:t>根据上表可知，项目所在区域环境空气质量评价指标中</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rFonts w:hint="eastAsia" w:ascii="Times New Roman" w:hAnsi="Times New Roman" w:eastAsia="宋体" w:cs="Times New Roman"/>
                <w:color w:val="auto"/>
                <w:kern w:val="2"/>
                <w:sz w:val="24"/>
                <w:szCs w:val="21"/>
                <w:highlight w:val="none"/>
                <w:shd w:val="clear" w:color="auto" w:fill="auto"/>
                <w:lang w:val="en-US" w:eastAsia="zh-CN" w:bidi="ar"/>
              </w:rPr>
              <w:t>，</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eastAsia" w:cs="Times New Roman"/>
                <w:color w:val="auto"/>
                <w:kern w:val="2"/>
                <w:sz w:val="24"/>
                <w:szCs w:val="21"/>
                <w:highlight w:val="none"/>
                <w:shd w:val="clear" w:color="auto" w:fill="auto"/>
                <w:lang w:val="en-US" w:eastAsia="zh-CN" w:bidi="ar"/>
              </w:rPr>
              <w:t>不</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color w:val="auto"/>
                <w:spacing w:val="5"/>
                <w:szCs w:val="21"/>
                <w:highlight w:val="none"/>
              </w:rPr>
              <w:t>。</w:t>
            </w:r>
          </w:p>
          <w:p>
            <w:pPr>
              <w:bidi w:val="0"/>
              <w:rPr>
                <w:rFonts w:hint="default"/>
                <w:color w:val="auto"/>
                <w:highlight w:val="none"/>
              </w:rPr>
            </w:pPr>
            <w:r>
              <w:rPr>
                <w:rFonts w:hint="eastAsia"/>
                <w:color w:val="auto"/>
                <w:highlight w:val="none"/>
              </w:rPr>
              <w:t>②</w:t>
            </w:r>
            <w:r>
              <w:rPr>
                <w:rFonts w:hint="default"/>
                <w:color w:val="auto"/>
                <w:highlight w:val="none"/>
              </w:rPr>
              <w:t>其他污染物环境质量现状评价</w:t>
            </w:r>
          </w:p>
          <w:p>
            <w:pPr>
              <w:bidi w:val="0"/>
              <w:rPr>
                <w:rFonts w:hint="eastAsia"/>
                <w:color w:val="auto"/>
                <w:highlight w:val="none"/>
                <w:lang w:val="en-US" w:eastAsia="zh-CN"/>
              </w:rPr>
            </w:pPr>
            <w:r>
              <w:rPr>
                <w:rFonts w:hint="eastAsia"/>
                <w:color w:val="auto"/>
                <w:highlight w:val="none"/>
                <w:lang w:val="en-US" w:eastAsia="zh-CN"/>
              </w:rPr>
              <w:t>根据《建设项目环境影响报告表编制技术指南 （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排放的特征污染物为非甲烷总、氯化氢（因现状镀膜工序与印刷、印刷烘干、镀膜、烘干及烧结还原工序共用1根排气筒，本次评价对其可达标排放性进行了分析，但由于本次评价镀膜工序生产工艺、产污节点均不发生变化，仅因产品方案调整，其污染物排放量减少，因此，本次评价未将该工序产生的氟化物作为特征污染物），其中非甲烷总烃有地方环境空气质量标准。本次在评价特征污染物环境质量现状时，引用建设项目周边5千米范围内近3年的现有监测数据进行分析。</w:t>
            </w:r>
          </w:p>
          <w:p>
            <w:pPr>
              <w:bidi w:val="0"/>
              <w:rPr>
                <w:rFonts w:hint="default" w:ascii="Times New Roman" w:hAnsi="Times New Roman" w:eastAsia="宋体" w:cs="Times New Roman"/>
                <w:color w:val="auto"/>
                <w:spacing w:val="0"/>
                <w:position w:val="0"/>
                <w:sz w:val="24"/>
                <w:szCs w:val="21"/>
                <w:highlight w:val="none"/>
                <w:shd w:val="clear" w:color="auto" w:fill="auto"/>
                <w:lang w:eastAsia="zh-TW"/>
              </w:rPr>
            </w:pPr>
            <w:r>
              <w:rPr>
                <w:rFonts w:hint="eastAsia"/>
                <w:color w:val="auto"/>
                <w:highlight w:val="none"/>
                <w:lang w:val="en-US" w:eastAsia="zh-CN"/>
              </w:rPr>
              <w:t>非甲烷总烃环境质量现状检测数据引用高新区北部拓展区环境影响跟踪评价环境质量现状监测数据，检测时间为2020年11月30日</w:t>
            </w:r>
            <w:r>
              <w:rPr>
                <w:rFonts w:hint="default" w:ascii="Times New Roman" w:hAnsi="Times New Roman" w:eastAsia="宋体" w:cs="Times New Roman"/>
                <w:color w:val="auto"/>
                <w:spacing w:val="0"/>
                <w:position w:val="0"/>
                <w:sz w:val="24"/>
                <w:szCs w:val="21"/>
                <w:highlight w:val="none"/>
                <w:shd w:val="clear" w:color="auto" w:fill="auto"/>
                <w:lang w:eastAsia="zh-TW"/>
              </w:rPr>
              <w:t>～</w:t>
            </w:r>
            <w:r>
              <w:rPr>
                <w:rFonts w:hint="eastAsia"/>
                <w:color w:val="auto"/>
                <w:highlight w:val="none"/>
                <w:lang w:val="en-US" w:eastAsia="zh-CN"/>
              </w:rPr>
              <w:t>2020年12月06日，检测点位为三益庄，位于本项目东侧2550m处，</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w:t>
            </w:r>
            <w:r>
              <w:rPr>
                <w:rFonts w:hint="eastAsia" w:ascii="Times New Roman" w:hAnsi="Times New Roman" w:eastAsia="宋体" w:cs="Times New Roman"/>
                <w:color w:val="auto"/>
                <w:spacing w:val="0"/>
                <w:position w:val="0"/>
                <w:sz w:val="24"/>
                <w:szCs w:val="21"/>
                <w:highlight w:val="none"/>
                <w:shd w:val="clear" w:color="auto" w:fill="auto"/>
                <w:lang w:val="en-US" w:eastAsia="zh-CN"/>
              </w:rPr>
              <w:t>符合</w:t>
            </w:r>
            <w:r>
              <w:rPr>
                <w:rFonts w:hint="eastAsia" w:ascii="Times New Roman" w:hAnsi="Times New Roman" w:eastAsia="宋体" w:cs="Times New Roman"/>
                <w:color w:val="auto"/>
                <w:sz w:val="24"/>
                <w:szCs w:val="21"/>
                <w:highlight w:val="none"/>
                <w:shd w:val="clear" w:color="auto" w:fill="auto"/>
                <w:lang w:val="en-US" w:eastAsia="zh-CN"/>
              </w:rPr>
              <w:t>《建设项目环境影响报告表编制技术指南（污染影响类）（试行）》要求，</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引用数据可用。</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pP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表</w:t>
            </w:r>
            <w:r>
              <w:rPr>
                <w:rFonts w:hint="eastAsia" w:cs="Times New Roman"/>
                <w:b/>
                <w:color w:val="auto"/>
                <w:spacing w:val="0"/>
                <w:kern w:val="0"/>
                <w:position w:val="0"/>
                <w:sz w:val="21"/>
                <w:szCs w:val="21"/>
                <w:highlight w:val="none"/>
                <w:shd w:val="clear" w:color="auto" w:fill="auto"/>
                <w:lang w:val="en-US" w:eastAsia="zh-CN"/>
              </w:rPr>
              <w:t>24</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 xml:space="preserve">  </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其他污染物环境质量现状</w:t>
            </w:r>
            <w:r>
              <w:rPr>
                <w:rFonts w:hint="eastAsia" w:ascii="Times New Roman" w:hAnsi="Times New Roman" w:eastAsia="宋体" w:cs="Times New Roman"/>
                <w:b/>
                <w:color w:val="auto"/>
                <w:spacing w:val="0"/>
                <w:kern w:val="0"/>
                <w:position w:val="0"/>
                <w:sz w:val="21"/>
                <w:szCs w:val="21"/>
                <w:highlight w:val="none"/>
                <w:shd w:val="clear" w:color="auto" w:fill="auto"/>
                <w:lang w:val="en-US" w:eastAsia="zh-CN"/>
              </w:rPr>
              <w:t>检测</w:t>
            </w:r>
            <w:r>
              <w:rPr>
                <w:rFonts w:hint="default" w:ascii="Times New Roman" w:hAnsi="Times New Roman" w:eastAsia="宋体" w:cs="Times New Roman"/>
                <w:b/>
                <w:color w:val="auto"/>
                <w:spacing w:val="0"/>
                <w:kern w:val="0"/>
                <w:position w:val="0"/>
                <w:sz w:val="21"/>
                <w:szCs w:val="21"/>
                <w:highlight w:val="none"/>
                <w:shd w:val="clear" w:color="auto" w:fill="auto"/>
                <w:lang w:val="en-US" w:eastAsia="zh-CN"/>
              </w:rPr>
              <w:t>结果</w:t>
            </w:r>
            <w:r>
              <w:rPr>
                <w:rFonts w:hint="eastAsia" w:cs="Times New Roman"/>
                <w:b/>
                <w:color w:val="auto"/>
                <w:spacing w:val="0"/>
                <w:kern w:val="0"/>
                <w:position w:val="0"/>
                <w:sz w:val="21"/>
                <w:szCs w:val="21"/>
                <w:highlight w:val="none"/>
                <w:shd w:val="clear" w:color="auto" w:fill="auto"/>
                <w:lang w:val="en-US" w:eastAsia="zh-CN"/>
              </w:rPr>
              <w:t>一览表</w:t>
            </w:r>
          </w:p>
          <w:tbl>
            <w:tblPr>
              <w:tblStyle w:val="24"/>
              <w:tblW w:w="8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17"/>
              <w:gridCol w:w="1188"/>
              <w:gridCol w:w="1163"/>
              <w:gridCol w:w="1234"/>
              <w:gridCol w:w="1122"/>
              <w:gridCol w:w="1072"/>
              <w:gridCol w:w="804"/>
              <w:gridCol w:w="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17"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点位</w:t>
                  </w:r>
                </w:p>
              </w:tc>
              <w:tc>
                <w:tcPr>
                  <w:tcW w:w="1188"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污染物</w:t>
                  </w:r>
                </w:p>
              </w:tc>
              <w:tc>
                <w:tcPr>
                  <w:tcW w:w="1163"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平均时间</w:t>
                  </w:r>
                </w:p>
              </w:tc>
              <w:tc>
                <w:tcPr>
                  <w:tcW w:w="1234"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评价标准（μg/m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122"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浓度范围（μg/m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072"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最大浓度占标率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804"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超标率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720" w:type="dxa"/>
                  <w:vMerge w:val="restart"/>
                  <w:noWrap w:val="0"/>
                  <w:vAlign w:val="center"/>
                </w:tcPr>
                <w:p>
                  <w:pPr>
                    <w:pStyle w:val="43"/>
                    <w:keepNext w:val="0"/>
                    <w:keepLines w:val="0"/>
                    <w:pageBreakBefore w:val="0"/>
                    <w:shd w:val="clear" w:color="auto" w:fill="auto"/>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917"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88"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63"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234"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22"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72"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804" w:type="dxa"/>
                  <w:vMerge w:val="continue"/>
                  <w:noWrap w:val="0"/>
                  <w:vAlign w:val="center"/>
                </w:tcPr>
                <w:p>
                  <w:pPr>
                    <w:pStyle w:val="43"/>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20" w:type="dxa"/>
                  <w:vMerge w:val="continue"/>
                  <w:noWrap w:val="0"/>
                  <w:vAlign w:val="center"/>
                </w:tcPr>
                <w:p>
                  <w:pPr>
                    <w:pStyle w:val="43"/>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917"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lang w:val="en-US" w:eastAsia="zh-CN"/>
                    </w:rPr>
                    <w:t>三益庄</w:t>
                  </w:r>
                </w:p>
              </w:tc>
              <w:tc>
                <w:tcPr>
                  <w:tcW w:w="1188"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非甲烷总烃</w:t>
                  </w:r>
                </w:p>
              </w:tc>
              <w:tc>
                <w:tcPr>
                  <w:tcW w:w="1163"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小时平均</w:t>
                  </w:r>
                </w:p>
              </w:tc>
              <w:tc>
                <w:tcPr>
                  <w:tcW w:w="1234" w:type="dxa"/>
                  <w:noWrap w:val="0"/>
                  <w:vAlign w:val="center"/>
                </w:tcPr>
                <w:p>
                  <w:pPr>
                    <w:pStyle w:val="41"/>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default" w:ascii="Times New Roman" w:hAnsi="Times New Roman" w:eastAsia="宋体" w:cs="Times New Roman"/>
                      <w:bCs/>
                      <w:color w:val="auto"/>
                      <w:kern w:val="2"/>
                      <w:sz w:val="21"/>
                      <w:szCs w:val="21"/>
                      <w:highlight w:val="none"/>
                      <w:lang w:val="en-US" w:eastAsia="zh-CN" w:bidi="ar"/>
                    </w:rPr>
                  </w:pPr>
                  <w:r>
                    <w:rPr>
                      <w:rFonts w:hint="eastAsia"/>
                      <w:color w:val="auto"/>
                      <w:sz w:val="21"/>
                      <w:szCs w:val="21"/>
                      <w:highlight w:val="none"/>
                      <w:lang w:val="en-US" w:eastAsia="zh-CN"/>
                    </w:rPr>
                    <w:t>2000</w:t>
                  </w:r>
                </w:p>
              </w:tc>
              <w:tc>
                <w:tcPr>
                  <w:tcW w:w="1122"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730～990</w:t>
                  </w:r>
                </w:p>
              </w:tc>
              <w:tc>
                <w:tcPr>
                  <w:tcW w:w="1072"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49.5</w:t>
                  </w:r>
                </w:p>
              </w:tc>
              <w:tc>
                <w:tcPr>
                  <w:tcW w:w="804" w:type="dxa"/>
                  <w:noWrap w:val="0"/>
                  <w:vAlign w:val="center"/>
                </w:tcPr>
                <w:p>
                  <w:pPr>
                    <w:pStyle w:val="43"/>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0</w:t>
                  </w:r>
                </w:p>
              </w:tc>
              <w:tc>
                <w:tcPr>
                  <w:tcW w:w="720" w:type="dxa"/>
                  <w:noWrap w:val="0"/>
                  <w:vAlign w:val="center"/>
                </w:tcPr>
                <w:p>
                  <w:pPr>
                    <w:pStyle w:val="43"/>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达标</w:t>
                  </w:r>
                </w:p>
              </w:tc>
            </w:tr>
          </w:tbl>
          <w:p>
            <w:pPr>
              <w:bidi w:val="0"/>
              <w:rPr>
                <w:rFonts w:hint="default"/>
                <w:color w:val="auto"/>
                <w:highlight w:val="none"/>
              </w:rPr>
            </w:pPr>
            <w:r>
              <w:rPr>
                <w:rFonts w:hint="default"/>
                <w:color w:val="auto"/>
                <w:highlight w:val="none"/>
              </w:rPr>
              <w:t>由上表可以看出，其他污染物非甲烷总烃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限值的要求</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highlight w:val="none"/>
              </w:rPr>
            </w:pPr>
            <w:r>
              <w:rPr>
                <w:rFonts w:hint="eastAsia"/>
                <w:b/>
                <w:bCs/>
                <w:color w:val="auto"/>
                <w:highlight w:val="none"/>
                <w:lang w:val="en-US" w:eastAsia="zh-CN"/>
              </w:rPr>
              <w:t>2、</w:t>
            </w:r>
            <w:r>
              <w:rPr>
                <w:rFonts w:hint="default"/>
                <w:b/>
                <w:bCs/>
                <w:color w:val="auto"/>
                <w:highlight w:val="none"/>
              </w:rPr>
              <w:t>声环境</w:t>
            </w:r>
          </w:p>
          <w:p>
            <w:pPr>
              <w:bidi w:val="0"/>
              <w:rPr>
                <w:rFonts w:hint="default"/>
                <w:color w:val="auto"/>
                <w:highlight w:val="none"/>
                <w:lang w:val="en-US" w:eastAsia="zh-CN"/>
              </w:rPr>
            </w:pPr>
            <w:r>
              <w:rPr>
                <w:rFonts w:hint="default"/>
                <w:color w:val="auto"/>
                <w:highlight w:val="none"/>
                <w:lang w:val="en-US" w:eastAsia="zh-CN"/>
              </w:rPr>
              <w:t>本项目</w:t>
            </w:r>
            <w:r>
              <w:rPr>
                <w:rFonts w:hint="default"/>
                <w:color w:val="auto"/>
                <w:highlight w:val="none"/>
                <w:lang w:val="zh-CN"/>
              </w:rPr>
              <w:t>厂址</w:t>
            </w:r>
            <w:r>
              <w:rPr>
                <w:rFonts w:hint="default"/>
                <w:color w:val="auto"/>
                <w:highlight w:val="none"/>
                <w:lang w:val="zh-CN" w:eastAsia="zh-CN"/>
              </w:rPr>
              <w:t>所在地</w:t>
            </w:r>
            <w:r>
              <w:rPr>
                <w:rFonts w:hint="eastAsia"/>
                <w:color w:val="auto"/>
                <w:highlight w:val="none"/>
                <w:lang w:val="en-US" w:eastAsia="zh-CN"/>
              </w:rPr>
              <w:t>主要为工业</w:t>
            </w:r>
            <w:r>
              <w:rPr>
                <w:rFonts w:hint="default"/>
                <w:color w:val="auto"/>
                <w:highlight w:val="none"/>
                <w:lang w:val="zh-CN"/>
              </w:rPr>
              <w:t>用地，</w:t>
            </w:r>
            <w:r>
              <w:rPr>
                <w:rFonts w:hint="eastAsia"/>
                <w:color w:val="auto"/>
                <w:highlight w:val="none"/>
                <w:lang w:val="en-US" w:eastAsia="zh-CN"/>
              </w:rPr>
              <w:t>厂界外50米范围内无声环境敏感点，</w:t>
            </w:r>
            <w:r>
              <w:rPr>
                <w:rFonts w:hint="default"/>
                <w:color w:val="auto"/>
                <w:highlight w:val="none"/>
                <w:lang w:val="zh-CN"/>
              </w:rPr>
              <w:t>项目所在地声环境质量较好</w:t>
            </w:r>
            <w:r>
              <w:rPr>
                <w:rFonts w:hint="default"/>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b/>
                <w:bCs/>
                <w:color w:val="auto"/>
                <w:highlight w:val="none"/>
                <w:lang w:val="en-US" w:eastAsia="zh-CN"/>
              </w:rPr>
            </w:pPr>
            <w:r>
              <w:rPr>
                <w:b/>
                <w:bCs/>
                <w:color w:val="auto"/>
                <w:highlight w:val="none"/>
              </w:rPr>
              <w:t>3、地表水</w:t>
            </w:r>
            <w:r>
              <w:rPr>
                <w:rFonts w:hint="eastAsia"/>
                <w:b/>
                <w:bCs/>
                <w:color w:val="auto"/>
                <w:highlight w:val="none"/>
                <w:lang w:val="en-US" w:eastAsia="zh-CN"/>
              </w:rPr>
              <w:t>环境</w:t>
            </w:r>
          </w:p>
          <w:p>
            <w:pPr>
              <w:pStyle w:val="44"/>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eastAsia="宋体" w:cs="Times New Roman"/>
                <w:bCs/>
                <w:smallCaps w:val="0"/>
                <w:snapToGrid/>
                <w:color w:val="auto"/>
                <w:spacing w:val="0"/>
                <w:kern w:val="2"/>
                <w:position w:val="0"/>
                <w:sz w:val="24"/>
                <w:szCs w:val="24"/>
                <w:highlight w:val="none"/>
                <w:lang w:val="en-US" w:eastAsia="zh-CN" w:bidi="ar-SA"/>
              </w:rPr>
            </w:pPr>
            <w:r>
              <w:rPr>
                <w:rFonts w:hint="eastAsia" w:eastAsia="宋体" w:cs="Times New Roman"/>
                <w:bCs/>
                <w:smallCaps w:val="0"/>
                <w:snapToGrid/>
                <w:color w:val="auto"/>
                <w:spacing w:val="0"/>
                <w:kern w:val="2"/>
                <w:position w:val="0"/>
                <w:sz w:val="24"/>
                <w:szCs w:val="24"/>
                <w:highlight w:val="none"/>
                <w:lang w:val="en-US" w:eastAsia="zh-CN" w:bidi="ar-SA"/>
              </w:rPr>
              <w:t>本项目无废水产生，</w:t>
            </w:r>
            <w:r>
              <w:rPr>
                <w:rFonts w:hint="eastAsia" w:ascii="Times New Roman" w:hAnsi="Times New Roman" w:eastAsia="宋体" w:cs="Times New Roman"/>
                <w:color w:val="auto"/>
                <w:sz w:val="24"/>
                <w:szCs w:val="24"/>
                <w:highlight w:val="none"/>
                <w:shd w:val="clear" w:color="auto" w:fill="auto"/>
                <w:lang w:val="en-US" w:eastAsia="zh-CN"/>
              </w:rPr>
              <w:t>不会对周边地表</w:t>
            </w:r>
            <w:r>
              <w:rPr>
                <w:rFonts w:hint="default" w:ascii="Times New Roman" w:hAnsi="Times New Roman" w:eastAsia="宋体" w:cs="Times New Roman"/>
                <w:color w:val="auto"/>
                <w:sz w:val="24"/>
                <w:szCs w:val="24"/>
                <w:highlight w:val="none"/>
                <w:shd w:val="clear" w:color="auto" w:fill="auto"/>
              </w:rPr>
              <w:t>水环境</w:t>
            </w:r>
            <w:r>
              <w:rPr>
                <w:rFonts w:hint="eastAsia" w:ascii="Times New Roman" w:hAnsi="Times New Roman" w:eastAsia="宋体" w:cs="Times New Roman"/>
                <w:color w:val="auto"/>
                <w:sz w:val="24"/>
                <w:szCs w:val="24"/>
                <w:highlight w:val="none"/>
                <w:shd w:val="clear" w:color="auto" w:fill="auto"/>
                <w:lang w:val="en-US" w:eastAsia="zh-CN"/>
              </w:rPr>
              <w:t>造成</w:t>
            </w:r>
            <w:r>
              <w:rPr>
                <w:rFonts w:hint="default" w:ascii="Times New Roman" w:hAnsi="Times New Roman" w:eastAsia="宋体" w:cs="Times New Roman"/>
                <w:color w:val="auto"/>
                <w:sz w:val="24"/>
                <w:szCs w:val="24"/>
                <w:highlight w:val="none"/>
                <w:shd w:val="clear" w:color="auto" w:fill="auto"/>
              </w:rPr>
              <w:t>影响</w:t>
            </w:r>
            <w:r>
              <w:rPr>
                <w:rFonts w:hint="eastAsia" w:eastAsia="宋体" w:cs="Times New Roman"/>
                <w:bCs/>
                <w:smallCaps w:val="0"/>
                <w:snapToGrid/>
                <w:color w:val="auto"/>
                <w:spacing w:val="0"/>
                <w:kern w:val="2"/>
                <w:position w:val="0"/>
                <w:sz w:val="24"/>
                <w:szCs w:val="24"/>
                <w:highlight w:val="none"/>
                <w:lang w:val="en-US" w:eastAsia="zh-CN" w:bidi="ar-SA"/>
              </w:rPr>
              <w:t>。</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2022年唐山市生态环境状况公报》，2022年全市共有地表水国、省考监测断面14个，分布于滦河、还乡河、陡河、青龙河、蓟运河、煤河、淋河、黎河、沙河9条河流，2022年国、省考核9条河流14个断面水质全部达标，11个断面达到地表水Ⅲ类及以上水质标准，优良（Ⅰ-Ⅲ）比例为78.57%。</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地下水环境</w:t>
            </w:r>
          </w:p>
          <w:p>
            <w:pPr>
              <w:bidi w:val="0"/>
              <w:rPr>
                <w:rFonts w:hint="eastAsia"/>
                <w:color w:val="auto"/>
                <w:lang w:val="en-US" w:eastAsia="zh-CN"/>
              </w:rPr>
            </w:pPr>
            <w:r>
              <w:rPr>
                <w:rFonts w:hint="eastAsia"/>
                <w:color w:val="auto"/>
                <w:lang w:val="en-US" w:eastAsia="zh-CN"/>
              </w:rPr>
              <w:t>本项目不在地下水水源地保护区内，项目厂界外500米范围内无地下水集中式饮用水水源和热水、矿泉水、温泉等特殊地下水资源，无地下水环境保护目标。</w:t>
            </w:r>
          </w:p>
          <w:p>
            <w:pPr>
              <w:bidi w:val="0"/>
              <w:rPr>
                <w:rFonts w:hint="default"/>
                <w:color w:val="auto"/>
                <w:highlight w:val="none"/>
                <w:lang w:val="en-US" w:eastAsia="zh-CN"/>
              </w:rPr>
            </w:pPr>
            <w:r>
              <w:rPr>
                <w:rFonts w:hint="eastAsia"/>
                <w:color w:val="auto"/>
                <w:lang w:val="en-US" w:eastAsia="zh-CN"/>
              </w:rPr>
              <w:t>现有工程使用的镀膜液、电极银浆、润滑油密闭桶装，储存于危险品储存区，</w:t>
            </w:r>
            <w:r>
              <w:rPr>
                <w:rFonts w:hint="eastAsia"/>
                <w:color w:val="auto"/>
                <w:highlight w:val="none"/>
                <w:lang w:val="en-US" w:eastAsia="zh-CN"/>
              </w:rPr>
              <w:t>地面进行硬化、防腐防渗处理，渗透系数</w:t>
            </w:r>
            <w:r>
              <w:rPr>
                <w:rFonts w:hint="default" w:ascii="Times New Roman" w:hAnsi="Times New Roman" w:cs="Times New Roman"/>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-10</w:t>
            </w:r>
            <w:r>
              <w:rPr>
                <w:rFonts w:hint="eastAsia"/>
                <w:color w:val="auto"/>
                <w:highlight w:val="none"/>
                <w:lang w:val="en-US" w:eastAsia="zh-CN"/>
              </w:rPr>
              <w:t>cm/s；废润滑油液桶装加盖，储存在危废间内，下设铁质托盘，地面及裙角进行硬化、防腐防渗处理，渗透系数</w:t>
            </w:r>
            <w:r>
              <w:rPr>
                <w:rFonts w:hint="default" w:ascii="Times New Roman" w:hAnsi="Times New Roman" w:cs="Times New Roman"/>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-10</w:t>
            </w:r>
            <w:r>
              <w:rPr>
                <w:rFonts w:hint="eastAsia"/>
                <w:color w:val="auto"/>
                <w:highlight w:val="none"/>
                <w:lang w:val="en-US" w:eastAsia="zh-CN"/>
              </w:rPr>
              <w:t>cm/s；碱液喷淋塔循环水箱采用封闭的碳钢结构，内部涂刷防腐材料；基体镀膜冷却用水储存于塑料箱中，防止生产过程中发生跑、冒、滴、漏现象；使用润滑油设备下方设置铁质焊接托盘，无缝隙，不渗漏，确保废润滑油不落地；生产车间其他区域的建设进行基础防渗处理。</w:t>
            </w:r>
          </w:p>
          <w:p>
            <w:pPr>
              <w:bidi w:val="0"/>
              <w:rPr>
                <w:rFonts w:hint="eastAsia"/>
                <w:color w:val="auto"/>
                <w:highlight w:val="yellow"/>
                <w:lang w:val="en-US" w:eastAsia="zh-CN"/>
              </w:rPr>
            </w:pPr>
            <w:r>
              <w:rPr>
                <w:rFonts w:hint="eastAsia"/>
                <w:color w:val="auto"/>
                <w:highlight w:val="none"/>
                <w:lang w:val="en-US" w:eastAsia="zh-CN"/>
              </w:rPr>
              <w:t>本项目所用润滑油、导电浆料原料密闭桶装储存于现有危险品储存区；新增废润滑油桶装加盖，暂存于现有危废间内；新增使用润滑油设备下方设置铁质焊接托盘，无缝隙，不渗漏，确保废润滑油不落地。</w:t>
            </w:r>
          </w:p>
          <w:p>
            <w:pPr>
              <w:bidi w:val="0"/>
              <w:rPr>
                <w:rFonts w:hint="default"/>
                <w:color w:val="auto"/>
                <w:highlight w:val="none"/>
                <w:lang w:val="en-US" w:eastAsia="zh-CN"/>
              </w:rPr>
            </w:pPr>
            <w:r>
              <w:rPr>
                <w:rFonts w:hint="eastAsia"/>
                <w:color w:val="auto"/>
                <w:highlight w:val="none"/>
                <w:lang w:val="en-US" w:eastAsia="zh-CN"/>
              </w:rPr>
              <w:t>综上所述，现有工程已采取相应措施，阻断了地下水环境污染途径，本项目采取相应措施后，阻断了地下水环境污染途径，故不开展地下水环境质量现状调查。</w:t>
            </w:r>
          </w:p>
          <w:p>
            <w:pPr>
              <w:bidi w:val="0"/>
              <w:ind w:left="0" w:leftChars="0" w:firstLine="0" w:firstLineChars="0"/>
              <w:rPr>
                <w:b/>
                <w:bCs/>
                <w:color w:val="auto"/>
                <w:highlight w:val="none"/>
              </w:rPr>
            </w:pPr>
            <w:r>
              <w:rPr>
                <w:rFonts w:hint="eastAsia"/>
                <w:b/>
                <w:bCs/>
                <w:color w:val="auto"/>
                <w:highlight w:val="none"/>
                <w:lang w:val="en-US" w:eastAsia="zh-CN"/>
              </w:rPr>
              <w:t>5</w:t>
            </w:r>
            <w:r>
              <w:rPr>
                <w:b/>
                <w:bCs/>
                <w:color w:val="auto"/>
                <w:highlight w:val="none"/>
              </w:rPr>
              <w:t>、生态</w:t>
            </w:r>
          </w:p>
          <w:p>
            <w:pPr>
              <w:bidi w:val="0"/>
              <w:rPr>
                <w:rFonts w:hint="default"/>
                <w:color w:val="auto"/>
                <w:highlight w:val="none"/>
                <w:lang w:val="zh-CN"/>
              </w:rPr>
            </w:pPr>
            <w:r>
              <w:rPr>
                <w:rFonts w:hint="eastAsia"/>
                <w:color w:val="auto"/>
                <w:highlight w:val="none"/>
                <w:lang w:val="en-US" w:eastAsia="zh-CN"/>
              </w:rPr>
              <w:t>本项目</w:t>
            </w:r>
            <w:r>
              <w:rPr>
                <w:rFonts w:hint="eastAsia"/>
                <w:color w:val="auto"/>
                <w:highlight w:val="none"/>
                <w:lang w:val="zh-CN" w:eastAsia="zh-CN"/>
              </w:rPr>
              <w:t>不新增占地，</w:t>
            </w:r>
            <w:r>
              <w:rPr>
                <w:rFonts w:hint="eastAsia"/>
                <w:color w:val="auto"/>
                <w:highlight w:val="none"/>
                <w:lang w:val="en-US" w:eastAsia="zh-CN"/>
              </w:rPr>
              <w:t>在厂区内进行建设，</w:t>
            </w:r>
            <w:r>
              <w:rPr>
                <w:rFonts w:hint="eastAsia"/>
                <w:color w:val="auto"/>
                <w:szCs w:val="21"/>
                <w:highlight w:val="none"/>
              </w:rPr>
              <w:t>无需</w:t>
            </w:r>
            <w:r>
              <w:rPr>
                <w:color w:val="auto"/>
                <w:szCs w:val="21"/>
                <w:highlight w:val="none"/>
              </w:rPr>
              <w:t>开展</w:t>
            </w:r>
            <w:r>
              <w:rPr>
                <w:rFonts w:hint="eastAsia"/>
                <w:color w:val="auto"/>
                <w:szCs w:val="21"/>
                <w:highlight w:val="none"/>
              </w:rPr>
              <w:t>生态</w:t>
            </w:r>
            <w:r>
              <w:rPr>
                <w:color w:val="auto"/>
                <w:szCs w:val="21"/>
                <w:highlight w:val="none"/>
              </w:rPr>
              <w:t>现状调查</w:t>
            </w:r>
            <w:r>
              <w:rPr>
                <w:rFonts w:hint="eastAsia"/>
                <w:color w:val="auto"/>
                <w:highlight w:val="none"/>
                <w:lang w:val="zh-CN"/>
              </w:rPr>
              <w:t>。</w:t>
            </w:r>
          </w:p>
          <w:p>
            <w:pPr>
              <w:keepNext w:val="0"/>
              <w:keepLines w:val="0"/>
              <w:pageBreakBefore w:val="0"/>
              <w:widowControl w:val="0"/>
              <w:numPr>
                <w:ilvl w:val="0"/>
                <w:numId w:val="24"/>
              </w:numPr>
              <w:kinsoku/>
              <w:wordWrap/>
              <w:overflowPunct/>
              <w:topLinePunct w:val="0"/>
              <w:autoSpaceDE/>
              <w:autoSpaceDN/>
              <w:bidi w:val="0"/>
              <w:adjustRightInd/>
              <w:snapToGrid/>
              <w:spacing w:line="480" w:lineRule="atLeast"/>
              <w:ind w:firstLine="0" w:firstLineChars="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电磁辐射</w:t>
            </w:r>
          </w:p>
          <w:p>
            <w:pPr>
              <w:bidi w:val="0"/>
              <w:rPr>
                <w:rFonts w:hint="default"/>
                <w:color w:val="auto"/>
                <w:highlight w:val="none"/>
                <w:lang w:val="en-US" w:eastAsia="zh-CN"/>
              </w:rPr>
            </w:pPr>
            <w:r>
              <w:rPr>
                <w:rFonts w:hint="eastAsia"/>
                <w:color w:val="auto"/>
                <w:highlight w:val="none"/>
                <w:lang w:val="en-US" w:eastAsia="zh-CN"/>
              </w:rPr>
              <w:t>本项目为其他家用电力器具制造，不涉及电磁辐射。</w:t>
            </w:r>
          </w:p>
          <w:p>
            <w:pPr>
              <w:numPr>
                <w:ilvl w:val="0"/>
                <w:numId w:val="24"/>
              </w:numPr>
              <w:ind w:left="0" w:leftChars="0" w:firstLine="0" w:firstLineChars="0"/>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土壤环境</w:t>
            </w:r>
          </w:p>
          <w:p>
            <w:pPr>
              <w:bidi w:val="0"/>
              <w:rPr>
                <w:rFonts w:hint="default"/>
                <w:color w:val="auto"/>
                <w:highlight w:val="none"/>
                <w:lang w:val="en-US" w:eastAsia="zh-CN"/>
              </w:rPr>
            </w:pPr>
            <w:r>
              <w:rPr>
                <w:rFonts w:hint="eastAsia"/>
                <w:color w:val="auto"/>
                <w:lang w:val="en-US" w:eastAsia="zh-CN"/>
              </w:rPr>
              <w:t>现有工程使用的镀膜液、电极银浆、润滑油密闭桶装，储存于危险品储存区，</w:t>
            </w:r>
            <w:r>
              <w:rPr>
                <w:rFonts w:hint="eastAsia"/>
                <w:color w:val="auto"/>
                <w:highlight w:val="none"/>
                <w:lang w:val="en-US" w:eastAsia="zh-CN"/>
              </w:rPr>
              <w:t>地面进行硬化、防腐防渗处理，渗透系数</w:t>
            </w:r>
            <w:r>
              <w:rPr>
                <w:rFonts w:hint="default" w:ascii="Times New Roman" w:hAnsi="Times New Roman" w:cs="Times New Roman"/>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-10</w:t>
            </w:r>
            <w:r>
              <w:rPr>
                <w:rFonts w:hint="eastAsia"/>
                <w:color w:val="auto"/>
                <w:highlight w:val="none"/>
                <w:lang w:val="en-US" w:eastAsia="zh-CN"/>
              </w:rPr>
              <w:t>cm/s；废润滑油液桶装加盖，储存在危废间内，下设铁质托盘，地面及裙角进行硬化、防腐防渗处理，渗透系数</w:t>
            </w:r>
            <w:r>
              <w:rPr>
                <w:rFonts w:hint="default" w:ascii="Times New Roman" w:hAnsi="Times New Roman" w:cs="Times New Roman"/>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-10</w:t>
            </w:r>
            <w:r>
              <w:rPr>
                <w:rFonts w:hint="eastAsia"/>
                <w:color w:val="auto"/>
                <w:highlight w:val="none"/>
                <w:lang w:val="en-US" w:eastAsia="zh-CN"/>
              </w:rPr>
              <w:t>cm/s；碱液喷淋塔循环水箱采用封闭的碳钢结构，内部涂刷防腐材料；基体镀膜冷却用水储存于塑料箱中，防止生产过程中发生跑、冒、滴、漏现象；使用润滑油设备下方设置铁质焊接托盘，无缝隙，不渗漏，确保废润滑油不落地；生产车间其他区域的建设进行基础防渗处理。</w:t>
            </w:r>
          </w:p>
          <w:p>
            <w:pPr>
              <w:bidi w:val="0"/>
              <w:rPr>
                <w:rFonts w:hint="eastAsia"/>
                <w:color w:val="auto"/>
                <w:highlight w:val="yellow"/>
                <w:lang w:val="en-US" w:eastAsia="zh-CN"/>
              </w:rPr>
            </w:pPr>
            <w:r>
              <w:rPr>
                <w:rFonts w:hint="eastAsia"/>
                <w:color w:val="auto"/>
                <w:highlight w:val="none"/>
                <w:lang w:val="en-US" w:eastAsia="zh-CN"/>
              </w:rPr>
              <w:t>本项目所用润滑油、导电浆料原料密闭桶装储存于现有危险品储存区；新增废润滑油桶装加盖，暂存于现有危废间内；新增使用润滑油设备下方设置铁质焊接托盘，无缝隙，不渗漏，确保废润滑油不落地。</w:t>
            </w:r>
          </w:p>
          <w:p>
            <w:pPr>
              <w:bidi w:val="0"/>
              <w:rPr>
                <w:color w:val="auto"/>
              </w:rPr>
            </w:pPr>
            <w:r>
              <w:rPr>
                <w:rFonts w:hint="eastAsia"/>
                <w:color w:val="auto"/>
                <w:lang w:val="en-US" w:eastAsia="zh-CN"/>
              </w:rPr>
              <w:t>综上所述，现有工程已采取相应措施，阻断了土壤环境污染途径，本项目采取相应措施后，阻断了土壤环境污染途径，故不开展土壤环境质量现状调查。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54" w:type="dxa"/>
            <w:noWrap w:val="0"/>
            <w:vAlign w:val="center"/>
          </w:tcPr>
          <w:p>
            <w:pPr>
              <w:pStyle w:val="32"/>
              <w:bidi w:val="0"/>
              <w:rPr>
                <w:rFonts w:hint="eastAsia"/>
                <w:color w:val="auto"/>
                <w:sz w:val="24"/>
                <w:szCs w:val="24"/>
                <w:highlight w:val="none"/>
              </w:rPr>
            </w:pPr>
            <w:r>
              <w:rPr>
                <w:rFonts w:hint="eastAsia"/>
                <w:color w:val="auto"/>
                <w:sz w:val="24"/>
                <w:szCs w:val="24"/>
                <w:highlight w:val="none"/>
              </w:rPr>
              <w:t>环境</w:t>
            </w:r>
          </w:p>
          <w:p>
            <w:pPr>
              <w:pStyle w:val="32"/>
              <w:bidi w:val="0"/>
              <w:rPr>
                <w:rFonts w:hint="eastAsia"/>
                <w:color w:val="auto"/>
                <w:sz w:val="24"/>
                <w:szCs w:val="24"/>
                <w:highlight w:val="none"/>
              </w:rPr>
            </w:pPr>
            <w:r>
              <w:rPr>
                <w:rFonts w:hint="eastAsia"/>
                <w:color w:val="auto"/>
                <w:sz w:val="24"/>
                <w:szCs w:val="24"/>
                <w:highlight w:val="none"/>
              </w:rPr>
              <w:t>保护</w:t>
            </w:r>
          </w:p>
          <w:p>
            <w:pPr>
              <w:pStyle w:val="32"/>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目标</w:t>
            </w:r>
          </w:p>
        </w:tc>
        <w:tc>
          <w:tcPr>
            <w:tcW w:w="8500"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大气环境：厂界外500m范围内</w:t>
            </w:r>
            <w:r>
              <w:rPr>
                <w:rFonts w:hint="eastAsia"/>
                <w:b w:val="0"/>
                <w:bCs w:val="0"/>
                <w:color w:val="auto"/>
                <w:sz w:val="24"/>
                <w:szCs w:val="24"/>
                <w:highlight w:val="none"/>
                <w:lang w:val="en-US" w:eastAsia="zh-CN"/>
              </w:rPr>
              <w:t>的大气环境保护目标为</w:t>
            </w:r>
            <w:r>
              <w:rPr>
                <w:rFonts w:hint="eastAsia"/>
                <w:color w:val="auto"/>
                <w:sz w:val="24"/>
                <w:szCs w:val="24"/>
                <w:highlight w:val="none"/>
                <w:lang w:val="en-US" w:eastAsia="zh-CN"/>
              </w:rPr>
              <w:t>东侧250m处的龙湖·天境尘林间居民区和东北侧300m处的凤城凯旋公馆2期居民区</w:t>
            </w:r>
            <w:r>
              <w:rPr>
                <w:rFonts w:hint="eastAsia" w:ascii="Times New Roman" w:hAnsi="Times New Roman" w:eastAsia="宋体"/>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声环境：厂界外50m范围内</w:t>
            </w:r>
            <w:r>
              <w:rPr>
                <w:rFonts w:hint="eastAsia"/>
                <w:b w:val="0"/>
                <w:bCs w:val="0"/>
                <w:color w:val="auto"/>
                <w:sz w:val="24"/>
                <w:szCs w:val="24"/>
                <w:highlight w:val="none"/>
                <w:lang w:val="en-US" w:eastAsia="zh-CN"/>
              </w:rPr>
              <w:t>无</w:t>
            </w:r>
            <w:r>
              <w:rPr>
                <w:rFonts w:hint="eastAsia" w:ascii="Times New Roman" w:hAnsi="Times New Roman" w:eastAsia="宋体"/>
                <w:b w:val="0"/>
                <w:bCs w:val="0"/>
                <w:color w:val="auto"/>
                <w:sz w:val="24"/>
                <w:szCs w:val="24"/>
                <w:highlight w:val="none"/>
                <w:lang w:val="en-US" w:eastAsia="zh-CN"/>
              </w:rPr>
              <w:t>声环境保护目标；</w:t>
            </w:r>
          </w:p>
          <w:p>
            <w:pPr>
              <w:bidi w:val="0"/>
              <w:rPr>
                <w:rFonts w:hint="eastAsia"/>
                <w:color w:val="auto"/>
                <w:lang w:val="en-US" w:eastAsia="zh-CN"/>
              </w:rPr>
            </w:pPr>
            <w:r>
              <w:rPr>
                <w:rFonts w:hint="eastAsia"/>
                <w:color w:val="auto"/>
                <w:lang w:val="en-US" w:eastAsia="zh-CN"/>
              </w:rPr>
              <w:t>地下水环境：厂界外500m范围内无地下水集中式饮用水水源和热水、矿泉水、温泉等特殊地下水资源，地下水环境保护目标主要为占地范围内的潜水含水层；</w:t>
            </w:r>
          </w:p>
          <w:p>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生态环境：本项目用地范围内无生态环境保护目标</w:t>
            </w:r>
            <w:r>
              <w:rPr>
                <w:rFonts w:hint="eastAsia"/>
                <w:color w:val="auto"/>
                <w:sz w:val="24"/>
                <w:szCs w:val="24"/>
                <w:highlight w:val="none"/>
                <w:lang w:val="en-US" w:eastAsia="zh-CN"/>
              </w:rPr>
              <w:t>。</w:t>
            </w:r>
          </w:p>
          <w:p>
            <w:pPr>
              <w:bidi w:val="0"/>
              <w:rPr>
                <w:rFonts w:hint="default"/>
                <w:color w:val="auto"/>
                <w:highlight w:val="none"/>
              </w:rPr>
            </w:pPr>
            <w:r>
              <w:rPr>
                <w:rFonts w:hint="eastAsia"/>
                <w:color w:val="auto"/>
                <w:highlight w:val="none"/>
                <w:lang w:val="en-US" w:eastAsia="zh-CN"/>
              </w:rPr>
              <w:t>本项目</w:t>
            </w:r>
            <w:r>
              <w:rPr>
                <w:rFonts w:hint="default"/>
                <w:color w:val="auto"/>
                <w:highlight w:val="none"/>
              </w:rPr>
              <w:t>环境保护目标见下表。</w:t>
            </w:r>
          </w:p>
          <w:p>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25</w:t>
            </w:r>
            <w:r>
              <w:rPr>
                <w:rFonts w:hint="default" w:ascii="Times New Roman" w:hAnsi="Times New Roman" w:eastAsia="宋体" w:cs="Times New Roman"/>
                <w:b/>
                <w:bCs/>
                <w:color w:val="auto"/>
                <w:sz w:val="21"/>
                <w:szCs w:val="21"/>
                <w:highlight w:val="none"/>
                <w:lang w:eastAsia="zh-CN"/>
              </w:rPr>
              <w:t xml:space="preserve">  环境保护目标一览表</w:t>
            </w:r>
          </w:p>
          <w:tbl>
            <w:tblPr>
              <w:tblStyle w:val="24"/>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133"/>
              <w:gridCol w:w="1217"/>
              <w:gridCol w:w="1140"/>
              <w:gridCol w:w="662"/>
              <w:gridCol w:w="832"/>
              <w:gridCol w:w="786"/>
              <w:gridCol w:w="740"/>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类别</w:t>
                  </w:r>
                </w:p>
              </w:tc>
              <w:tc>
                <w:tcPr>
                  <w:tcW w:w="110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保护对象</w:t>
                  </w:r>
                </w:p>
              </w:tc>
              <w:tc>
                <w:tcPr>
                  <w:tcW w:w="22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坐标</w:t>
                  </w:r>
                </w:p>
              </w:tc>
              <w:tc>
                <w:tcPr>
                  <w:tcW w:w="6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保护对象</w:t>
                  </w:r>
                </w:p>
              </w:tc>
              <w:tc>
                <w:tcPr>
                  <w:tcW w:w="81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保护内容</w:t>
                  </w:r>
                </w:p>
              </w:tc>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环境功能区</w:t>
                  </w:r>
                </w:p>
              </w:tc>
              <w:tc>
                <w:tcPr>
                  <w:tcW w:w="7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91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color w:val="auto"/>
                      <w:sz w:val="21"/>
                      <w:szCs w:val="21"/>
                      <w:highlight w:val="none"/>
                    </w:rPr>
                  </w:pPr>
                </w:p>
              </w:tc>
              <w:tc>
                <w:tcPr>
                  <w:tcW w:w="110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东经（°）</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北纬（°）</w:t>
                  </w:r>
                </w:p>
              </w:tc>
              <w:tc>
                <w:tcPr>
                  <w:tcW w:w="6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81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1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11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龙湖·天境尘林间</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118.152818</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39.705777</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居民</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E</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1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凤城凯旋公馆2期</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118.152671</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39.708435</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居民</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地下水环境</w:t>
                  </w:r>
                </w:p>
              </w:tc>
              <w:tc>
                <w:tcPr>
                  <w:tcW w:w="11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厂区内地下水潜水层</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地下水</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地下水潜水层</w:t>
                  </w:r>
                </w:p>
              </w:tc>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Ⅲ</w:t>
                  </w:r>
                  <w:r>
                    <w:rPr>
                      <w:rFonts w:hint="eastAsia" w:cs="Times New Roman"/>
                      <w:color w:val="auto"/>
                      <w:sz w:val="21"/>
                      <w:szCs w:val="21"/>
                      <w:highlight w:val="none"/>
                      <w:lang w:val="en-US" w:eastAsia="zh-CN"/>
                    </w:rPr>
                    <w:t>类区</w:t>
                  </w:r>
                </w:p>
              </w:tc>
              <w:tc>
                <w:tcPr>
                  <w:tcW w:w="163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占地范围内</w:t>
                  </w:r>
                </w:p>
              </w:tc>
            </w:tr>
          </w:tbl>
          <w:p>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default"/>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54" w:type="dxa"/>
            <w:noWrap w:val="0"/>
            <w:vAlign w:val="center"/>
          </w:tcPr>
          <w:p>
            <w:pPr>
              <w:pStyle w:val="32"/>
              <w:bidi w:val="0"/>
              <w:rPr>
                <w:rFonts w:hint="eastAsia"/>
                <w:color w:val="auto"/>
                <w:sz w:val="24"/>
                <w:szCs w:val="24"/>
                <w:highlight w:val="none"/>
              </w:rPr>
            </w:pPr>
            <w:r>
              <w:rPr>
                <w:rFonts w:hint="eastAsia"/>
                <w:color w:val="auto"/>
                <w:sz w:val="24"/>
                <w:szCs w:val="24"/>
                <w:highlight w:val="none"/>
              </w:rPr>
              <w:t>污染</w:t>
            </w:r>
          </w:p>
          <w:p>
            <w:pPr>
              <w:pStyle w:val="32"/>
              <w:bidi w:val="0"/>
              <w:rPr>
                <w:rFonts w:hint="eastAsia"/>
                <w:color w:val="auto"/>
                <w:sz w:val="24"/>
                <w:szCs w:val="24"/>
                <w:highlight w:val="none"/>
              </w:rPr>
            </w:pPr>
            <w:r>
              <w:rPr>
                <w:rFonts w:hint="eastAsia"/>
                <w:color w:val="auto"/>
                <w:sz w:val="24"/>
                <w:szCs w:val="24"/>
                <w:highlight w:val="none"/>
              </w:rPr>
              <w:t>物排</w:t>
            </w:r>
          </w:p>
          <w:p>
            <w:pPr>
              <w:pStyle w:val="32"/>
              <w:bidi w:val="0"/>
              <w:rPr>
                <w:rFonts w:hint="eastAsia"/>
                <w:color w:val="auto"/>
                <w:sz w:val="24"/>
                <w:szCs w:val="24"/>
                <w:highlight w:val="none"/>
              </w:rPr>
            </w:pPr>
            <w:r>
              <w:rPr>
                <w:rFonts w:hint="eastAsia"/>
                <w:color w:val="auto"/>
                <w:sz w:val="24"/>
                <w:szCs w:val="24"/>
                <w:highlight w:val="none"/>
              </w:rPr>
              <w:t>放控</w:t>
            </w:r>
          </w:p>
          <w:p>
            <w:pPr>
              <w:pStyle w:val="32"/>
              <w:bidi w:val="0"/>
              <w:rPr>
                <w:rFonts w:hint="eastAsia"/>
                <w:color w:val="auto"/>
                <w:sz w:val="24"/>
                <w:szCs w:val="24"/>
                <w:highlight w:val="none"/>
              </w:rPr>
            </w:pPr>
            <w:r>
              <w:rPr>
                <w:rFonts w:hint="eastAsia"/>
                <w:color w:val="auto"/>
                <w:sz w:val="24"/>
                <w:szCs w:val="24"/>
                <w:highlight w:val="none"/>
              </w:rPr>
              <w:t>制标</w:t>
            </w:r>
          </w:p>
          <w:p>
            <w:pPr>
              <w:pStyle w:val="32"/>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准</w:t>
            </w:r>
          </w:p>
        </w:tc>
        <w:tc>
          <w:tcPr>
            <w:tcW w:w="8500" w:type="dxa"/>
            <w:noWrap w:val="0"/>
            <w:vAlign w:val="center"/>
          </w:tcPr>
          <w:p>
            <w:pPr>
              <w:numPr>
                <w:ilvl w:val="0"/>
                <w:numId w:val="25"/>
              </w:numPr>
              <w:bidi w:val="0"/>
              <w:rPr>
                <w:rFonts w:hint="eastAsia"/>
                <w:b w:val="0"/>
                <w:bCs w:val="0"/>
                <w:color w:val="auto"/>
                <w:highlight w:val="none"/>
                <w:vertAlign w:val="baseline"/>
                <w:lang w:val="en-US" w:eastAsia="zh-CN"/>
              </w:rPr>
            </w:pPr>
            <w:r>
              <w:rPr>
                <w:rFonts w:hint="eastAsia"/>
                <w:color w:val="auto"/>
                <w:lang w:val="en-US" w:eastAsia="zh-CN"/>
              </w:rPr>
              <w:t>非甲烷总烃有组织排放执行</w:t>
            </w:r>
            <w:r>
              <w:rPr>
                <w:rFonts w:hint="default" w:ascii="Times New Roman" w:hAnsi="Times New Roman" w:eastAsia="宋体" w:cs="Times New Roman"/>
                <w:color w:val="auto"/>
                <w:sz w:val="24"/>
                <w:szCs w:val="24"/>
              </w:rPr>
              <w:t>《工业企业挥发性有机物排放控制标准》（DB13 2322-2016）表1中</w:t>
            </w:r>
            <w:r>
              <w:rPr>
                <w:rFonts w:hint="default" w:ascii="Times New Roman" w:hAnsi="Times New Roman" w:eastAsia="宋体" w:cs="Times New Roman"/>
                <w:color w:val="auto"/>
                <w:sz w:val="24"/>
                <w:szCs w:val="24"/>
                <w:lang w:eastAsia="zh-CN"/>
              </w:rPr>
              <w:t>其他行业</w:t>
            </w:r>
            <w:r>
              <w:rPr>
                <w:rFonts w:hint="default" w:ascii="Times New Roman" w:hAnsi="Times New Roman" w:eastAsia="宋体" w:cs="Times New Roman"/>
                <w:color w:val="auto"/>
                <w:sz w:val="24"/>
                <w:szCs w:val="24"/>
              </w:rPr>
              <w:t>最高允许排放浓度：非甲烷总烃</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0mg/</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eastAsia"/>
                <w:b w:val="0"/>
                <w:bCs w:val="0"/>
                <w:color w:val="auto"/>
                <w:highlight w:val="none"/>
                <w:vertAlign w:val="baseline"/>
                <w:lang w:val="en-US" w:eastAsia="zh-CN"/>
              </w:rPr>
              <w:t>。排气筒高度不低于15m，且应高出周围200m半径范围的建筑5m以上，同时执行企业承诺限值：</w:t>
            </w:r>
            <w:r>
              <w:rPr>
                <w:rFonts w:hint="eastAsia" w:ascii="Times New Roman" w:hAnsi="Times New Roman" w:cs="Times New Roman"/>
                <w:color w:val="auto"/>
                <w:sz w:val="24"/>
                <w:szCs w:val="24"/>
                <w:lang w:val="en-US" w:eastAsia="zh-CN"/>
              </w:rPr>
              <w:t>非甲烷总烃排放浓度不高于50mg/m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p>
          <w:p>
            <w:pPr>
              <w:numPr>
                <w:ilvl w:val="0"/>
                <w:numId w:val="25"/>
              </w:numPr>
              <w:bidi w:val="0"/>
              <w:ind w:left="0" w:leftChars="0" w:firstLine="480" w:firstLineChars="200"/>
              <w:rPr>
                <w:rFonts w:hint="eastAsia"/>
                <w:b w:val="0"/>
                <w:bCs w:val="0"/>
                <w:color w:val="auto"/>
                <w:highlight w:val="none"/>
                <w:vertAlign w:val="baseline"/>
                <w:lang w:val="en-US" w:eastAsia="zh-CN"/>
              </w:rPr>
            </w:pPr>
            <w:r>
              <w:rPr>
                <w:rFonts w:hint="eastAsia"/>
                <w:b w:val="0"/>
                <w:bCs w:val="0"/>
                <w:color w:val="auto"/>
                <w:highlight w:val="none"/>
                <w:vertAlign w:val="baseline"/>
                <w:lang w:val="en-US" w:eastAsia="zh-CN"/>
              </w:rPr>
              <w:t>非甲烷总烃无组织排放执行</w:t>
            </w: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highlight w:val="none"/>
                <w:lang w:val="en-US" w:eastAsia="zh-CN"/>
              </w:rPr>
              <w:t>同时执行</w:t>
            </w:r>
            <w:r>
              <w:rPr>
                <w:rFonts w:hint="eastAsia"/>
                <w:color w:val="auto"/>
                <w:sz w:val="24"/>
                <w:szCs w:val="24"/>
                <w:highlight w:val="none"/>
                <w:lang w:eastAsia="zh-CN"/>
              </w:rPr>
              <w:t>《</w:t>
            </w:r>
            <w:r>
              <w:rPr>
                <w:rFonts w:hint="eastAsia"/>
                <w:color w:val="auto"/>
                <w:sz w:val="24"/>
                <w:szCs w:val="24"/>
                <w:highlight w:val="none"/>
                <w:lang w:val="en-US" w:eastAsia="zh-CN"/>
              </w:rPr>
              <w:t>挥发性有机物无组织排放控制标准</w:t>
            </w:r>
            <w:r>
              <w:rPr>
                <w:rFonts w:hint="eastAsia"/>
                <w:color w:val="auto"/>
                <w:sz w:val="24"/>
                <w:szCs w:val="24"/>
                <w:highlight w:val="none"/>
                <w:lang w:eastAsia="zh-CN"/>
              </w:rPr>
              <w:t>》（</w:t>
            </w:r>
            <w:r>
              <w:rPr>
                <w:rFonts w:hint="eastAsia"/>
                <w:color w:val="auto"/>
                <w:sz w:val="24"/>
                <w:szCs w:val="24"/>
                <w:highlight w:val="none"/>
                <w:lang w:val="en-US" w:eastAsia="zh-CN"/>
              </w:rPr>
              <w:t>GB37822-2019</w:t>
            </w:r>
            <w:r>
              <w:rPr>
                <w:rFonts w:hint="eastAsia"/>
                <w:color w:val="auto"/>
                <w:sz w:val="24"/>
                <w:szCs w:val="24"/>
                <w:highlight w:val="none"/>
                <w:lang w:eastAsia="zh-CN"/>
              </w:rPr>
              <w:t>）</w:t>
            </w:r>
            <w:r>
              <w:rPr>
                <w:rFonts w:hint="eastAsia"/>
                <w:color w:val="auto"/>
                <w:sz w:val="24"/>
                <w:szCs w:val="24"/>
                <w:highlight w:val="none"/>
                <w:lang w:val="en-US" w:eastAsia="zh-CN"/>
              </w:rPr>
              <w:t>附录A表A.1厂区内VOCs无组织排放限值中厂房外监控点1h平均浓度限值：非甲烷总烃6mg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任意一次浓度限值：非甲烷总烃20mg</w:t>
            </w:r>
            <w:r>
              <w:rPr>
                <w:rFonts w:hint="default"/>
                <w:color w:val="auto"/>
                <w:sz w:val="24"/>
                <w:szCs w:val="24"/>
                <w:highlight w:val="none"/>
              </w:rPr>
              <w:t>/m</w:t>
            </w:r>
            <w:r>
              <w:rPr>
                <w:rFonts w:hint="default"/>
                <w:color w:val="auto"/>
                <w:sz w:val="24"/>
                <w:szCs w:val="24"/>
                <w:highlight w:val="none"/>
                <w:vertAlign w:val="superscript"/>
              </w:rPr>
              <w:t>3</w:t>
            </w:r>
            <w:r>
              <w:rPr>
                <w:rFonts w:hint="eastAsia"/>
                <w:color w:val="auto"/>
                <w:sz w:val="24"/>
                <w:szCs w:val="24"/>
                <w:highlight w:val="none"/>
                <w:vertAlign w:val="baseline"/>
                <w:lang w:val="en-US" w:eastAsia="zh-CN"/>
              </w:rPr>
              <w:t>的要求</w:t>
            </w:r>
            <w:r>
              <w:rPr>
                <w:rFonts w:hint="eastAsia"/>
                <w:color w:val="auto"/>
                <w:sz w:val="24"/>
                <w:szCs w:val="24"/>
                <w:highlight w:val="none"/>
              </w:rPr>
              <w:t>。</w:t>
            </w:r>
          </w:p>
          <w:p>
            <w:pPr>
              <w:bidi w:val="0"/>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氯化氢无组织排放执行</w:t>
            </w:r>
            <w:r>
              <w:rPr>
                <w:rFonts w:hint="default"/>
                <w:color w:val="auto"/>
                <w:sz w:val="24"/>
                <w:szCs w:val="24"/>
                <w:highlight w:val="none"/>
              </w:rPr>
              <w:t>《大气污染物综合排放标准》（GB16297-1996）表2中无组织排放监控浓度限值要求：</w:t>
            </w:r>
            <w:r>
              <w:rPr>
                <w:rFonts w:hint="eastAsia"/>
                <w:color w:val="auto"/>
                <w:sz w:val="24"/>
                <w:szCs w:val="24"/>
                <w:highlight w:val="none"/>
                <w:lang w:val="en-US" w:eastAsia="zh-CN"/>
              </w:rPr>
              <w:t>氯化氢</w:t>
            </w:r>
            <w:r>
              <w:rPr>
                <w:rFonts w:hint="default"/>
                <w:color w:val="auto"/>
                <w:sz w:val="24"/>
                <w:szCs w:val="24"/>
                <w:highlight w:val="none"/>
              </w:rPr>
              <w:t>无组织排放周界外浓度最高</w:t>
            </w:r>
            <w:r>
              <w:rPr>
                <w:rFonts w:hint="eastAsia"/>
                <w:color w:val="auto"/>
                <w:sz w:val="24"/>
                <w:szCs w:val="24"/>
                <w:highlight w:val="none"/>
                <w:lang w:val="en-US" w:eastAsia="zh-CN"/>
              </w:rPr>
              <w:t>0.2</w:t>
            </w:r>
            <w:r>
              <w:rPr>
                <w:rFonts w:hint="default"/>
                <w:color w:val="auto"/>
                <w:sz w:val="24"/>
                <w:szCs w:val="24"/>
                <w:highlight w:val="none"/>
              </w:rPr>
              <w:t>mg/m</w:t>
            </w:r>
            <w:r>
              <w:rPr>
                <w:rFonts w:hint="default"/>
                <w:color w:val="auto"/>
                <w:sz w:val="24"/>
                <w:szCs w:val="24"/>
                <w:highlight w:val="none"/>
                <w:vertAlign w:val="superscript"/>
              </w:rPr>
              <w:t>3</w:t>
            </w:r>
            <w:r>
              <w:rPr>
                <w:rFonts w:hint="eastAsia"/>
                <w:color w:val="auto"/>
                <w:sz w:val="24"/>
                <w:szCs w:val="24"/>
                <w:highlight w:val="none"/>
                <w:vertAlign w:val="baseline"/>
                <w:lang w:eastAsia="zh-CN"/>
              </w:rPr>
              <w:t>。</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厂界噪声执行《工业企业厂界环境噪声排放标准》（GB12348-2008）</w:t>
            </w:r>
            <w:r>
              <w:rPr>
                <w:rFonts w:hint="eastAsia"/>
                <w:color w:val="auto"/>
                <w:highlight w:val="none"/>
                <w:lang w:val="en-US" w:eastAsia="zh-CN"/>
              </w:rPr>
              <w:t>2</w:t>
            </w:r>
            <w:r>
              <w:rPr>
                <w:color w:val="auto"/>
                <w:highlight w:val="none"/>
              </w:rPr>
              <w:t>类标准</w:t>
            </w:r>
            <w:r>
              <w:rPr>
                <w:rFonts w:hint="eastAsia"/>
                <w:color w:val="auto"/>
                <w:highlight w:val="none"/>
                <w:lang w:val="en-US" w:eastAsia="zh-CN"/>
              </w:rPr>
              <w:t>：昼间60dB（A），夜间50dB（A）</w:t>
            </w:r>
            <w:r>
              <w:rPr>
                <w:rFonts w:hint="eastAsia"/>
                <w:color w:val="auto"/>
                <w:highlight w:val="none"/>
                <w:lang w:eastAsia="zh-CN"/>
              </w:rPr>
              <w:t>。</w:t>
            </w:r>
          </w:p>
          <w:p>
            <w:pPr>
              <w:bidi w:val="0"/>
              <w:rPr>
                <w:rFonts w:hint="eastAsia" w:ascii="宋体" w:hAnsi="宋体" w:eastAsia="宋体" w:cs="宋体"/>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24"/>
                <w:sz w:val="24"/>
                <w:highlight w:val="none"/>
              </w:rPr>
              <w:t>一般固体废物执行《中华人民共和国固体废物污染环境防治法》中第二十条第一款：产生、收集、贮存、运输、利用、处置固体废物的单位和其他生产经营者</w:t>
            </w:r>
            <w:r>
              <w:rPr>
                <w:rFonts w:hint="eastAsia" w:ascii="宋体" w:hAnsi="宋体" w:cs="宋体"/>
                <w:color w:val="auto"/>
                <w:kern w:val="24"/>
                <w:sz w:val="24"/>
                <w:highlight w:val="none"/>
                <w:lang w:eastAsia="zh-CN"/>
              </w:rPr>
              <w:t>，</w:t>
            </w:r>
            <w:r>
              <w:rPr>
                <w:rFonts w:hint="default" w:ascii="Times New Roman" w:hAnsi="Times New Roman" w:eastAsia="宋体" w:cs="Times New Roman"/>
                <w:color w:val="auto"/>
                <w:kern w:val="24"/>
                <w:sz w:val="24"/>
                <w:highlight w:val="none"/>
              </w:rPr>
              <w:t>应当采取防扬散、防流失、防渗漏或者其他防止污染环境的措施</w:t>
            </w:r>
            <w:r>
              <w:rPr>
                <w:rFonts w:hint="eastAsia"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不得擅自倾倒、堆放、丢弃、遗撒固体废物。营运期生活垃圾处置参照执行《中华人民共和国固体废物污染环境防治法》（2020年9月1日</w:t>
            </w:r>
            <w:r>
              <w:rPr>
                <w:rFonts w:hint="eastAsia" w:ascii="宋体" w:hAnsi="宋体" w:eastAsia="宋体" w:cs="宋体"/>
                <w:color w:val="auto"/>
                <w:kern w:val="24"/>
                <w:sz w:val="24"/>
                <w:highlight w:val="none"/>
              </w:rPr>
              <w:t>）</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第四章生活垃圾</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的相关规定</w:t>
            </w:r>
            <w:r>
              <w:rPr>
                <w:rFonts w:hint="eastAsia" w:ascii="宋体" w:hAnsi="宋体" w:eastAsia="宋体" w:cs="宋体"/>
                <w:color w:val="auto"/>
                <w:kern w:val="24"/>
                <w:sz w:val="24"/>
                <w:highlight w:val="none"/>
                <w:lang w:eastAsia="zh-CN"/>
              </w:rPr>
              <w:t>。</w:t>
            </w:r>
          </w:p>
          <w:p>
            <w:pPr>
              <w:bidi w:val="0"/>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lang w:val="en-US" w:eastAsia="zh-CN"/>
              </w:rPr>
              <w:t>（6）</w:t>
            </w:r>
            <w:r>
              <w:rPr>
                <w:rFonts w:hint="eastAsia"/>
                <w:color w:val="auto"/>
                <w:highlight w:val="none"/>
              </w:rPr>
              <w:t>危险废物执行《危险废物贮存污染控制标准》（GB18597-20</w:t>
            </w:r>
            <w:r>
              <w:rPr>
                <w:rFonts w:hint="eastAsia"/>
                <w:color w:val="auto"/>
                <w:highlight w:val="none"/>
                <w:lang w:val="en-US" w:eastAsia="zh-CN"/>
              </w:rPr>
              <w:t>23</w:t>
            </w:r>
            <w:r>
              <w:rPr>
                <w:rFonts w:hint="eastAsia"/>
                <w:color w:val="auto"/>
                <w:highlight w:val="none"/>
              </w:rPr>
              <w:t>）中的标准。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854" w:type="dxa"/>
            <w:noWrap w:val="0"/>
            <w:vAlign w:val="center"/>
          </w:tcPr>
          <w:p>
            <w:pPr>
              <w:pStyle w:val="32"/>
              <w:bidi w:val="0"/>
              <w:rPr>
                <w:rFonts w:hint="eastAsia"/>
                <w:color w:val="auto"/>
                <w:sz w:val="24"/>
                <w:szCs w:val="24"/>
                <w:highlight w:val="none"/>
              </w:rPr>
            </w:pPr>
            <w:r>
              <w:rPr>
                <w:rFonts w:hint="eastAsia"/>
                <w:color w:val="auto"/>
                <w:sz w:val="24"/>
                <w:szCs w:val="24"/>
                <w:highlight w:val="none"/>
              </w:rPr>
              <w:t>总量</w:t>
            </w:r>
          </w:p>
          <w:p>
            <w:pPr>
              <w:pStyle w:val="32"/>
              <w:bidi w:val="0"/>
              <w:rPr>
                <w:rFonts w:hint="eastAsia"/>
                <w:color w:val="auto"/>
                <w:sz w:val="24"/>
                <w:szCs w:val="24"/>
                <w:highlight w:val="none"/>
              </w:rPr>
            </w:pPr>
            <w:r>
              <w:rPr>
                <w:rFonts w:hint="eastAsia"/>
                <w:color w:val="auto"/>
                <w:sz w:val="24"/>
                <w:szCs w:val="24"/>
                <w:highlight w:val="none"/>
              </w:rPr>
              <w:t>控制</w:t>
            </w:r>
          </w:p>
          <w:p>
            <w:pPr>
              <w:pStyle w:val="32"/>
              <w:bidi w:val="0"/>
              <w:ind w:firstLine="0" w:firstLineChars="0"/>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rPr>
              <w:t>指标</w:t>
            </w:r>
          </w:p>
        </w:tc>
        <w:tc>
          <w:tcPr>
            <w:tcW w:w="8500" w:type="dxa"/>
            <w:noWrap w:val="0"/>
            <w:vAlign w:val="center"/>
          </w:tcPr>
          <w:p>
            <w:pPr>
              <w:pStyle w:val="9"/>
              <w:rPr>
                <w:rFonts w:hint="default"/>
                <w:color w:val="auto"/>
                <w:highlight w:val="none"/>
              </w:rPr>
            </w:pPr>
            <w:r>
              <w:rPr>
                <w:rFonts w:hint="default"/>
                <w:color w:val="auto"/>
                <w:highlight w:val="none"/>
              </w:rPr>
              <w:t>根据</w:t>
            </w:r>
            <w:r>
              <w:rPr>
                <w:rFonts w:hint="eastAsia"/>
                <w:color w:val="auto"/>
                <w:highlight w:val="none"/>
                <w:lang w:val="en-US" w:eastAsia="zh-CN"/>
              </w:rPr>
              <w:t>国家总量控制相关要求</w:t>
            </w:r>
            <w:r>
              <w:rPr>
                <w:rFonts w:hint="default"/>
                <w:color w:val="auto"/>
                <w:highlight w:val="none"/>
              </w:rPr>
              <w:t>，同时根据</w:t>
            </w:r>
            <w:r>
              <w:rPr>
                <w:rFonts w:hint="default"/>
                <w:color w:val="auto"/>
                <w:highlight w:val="none"/>
                <w:lang w:eastAsia="zh-CN"/>
              </w:rPr>
              <w:t>河北</w:t>
            </w:r>
            <w:r>
              <w:rPr>
                <w:rFonts w:hint="default"/>
                <w:color w:val="auto"/>
                <w:highlight w:val="none"/>
              </w:rPr>
              <w:t>省环保厅的要求，以及项目厂址区域环境质量现状、外排污染物特征，确定总量控制因子为：</w:t>
            </w:r>
          </w:p>
          <w:p>
            <w:pPr>
              <w:bidi w:val="0"/>
              <w:rPr>
                <w:rFonts w:hint="default"/>
                <w:color w:val="auto"/>
                <w:highlight w:val="none"/>
              </w:rPr>
            </w:pPr>
            <w:r>
              <w:rPr>
                <w:rFonts w:hint="default"/>
                <w:color w:val="auto"/>
                <w:highlight w:val="none"/>
              </w:rPr>
              <w:t>废气：SO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X</w:t>
            </w:r>
            <w:r>
              <w:rPr>
                <w:rFonts w:hint="default"/>
                <w:color w:val="auto"/>
                <w:highlight w:val="none"/>
              </w:rPr>
              <w:t>；</w:t>
            </w:r>
          </w:p>
          <w:p>
            <w:pPr>
              <w:bidi w:val="0"/>
              <w:rPr>
                <w:rFonts w:hint="eastAsia"/>
                <w:color w:val="auto"/>
                <w:highlight w:val="none"/>
                <w:lang w:eastAsia="zh-CN"/>
              </w:rPr>
            </w:pPr>
            <w:r>
              <w:rPr>
                <w:rFonts w:hint="default"/>
                <w:color w:val="auto"/>
                <w:highlight w:val="none"/>
              </w:rPr>
              <w:t>废水：COD、氨氮</w:t>
            </w:r>
            <w:r>
              <w:rPr>
                <w:rFonts w:hint="eastAsia"/>
                <w:color w:val="auto"/>
                <w:highlight w:val="none"/>
                <w:lang w:eastAsia="zh-CN"/>
              </w:rPr>
              <w:t>、</w:t>
            </w:r>
            <w:r>
              <w:rPr>
                <w:rFonts w:hint="eastAsia"/>
                <w:color w:val="auto"/>
                <w:highlight w:val="none"/>
                <w:lang w:val="en-US" w:eastAsia="zh-CN"/>
              </w:rPr>
              <w:t>总氮</w:t>
            </w:r>
            <w:r>
              <w:rPr>
                <w:rFonts w:hint="eastAsia"/>
                <w:color w:val="auto"/>
                <w:highlight w:val="none"/>
                <w:lang w:eastAsia="zh-CN"/>
              </w:rPr>
              <w:t>；</w:t>
            </w:r>
          </w:p>
          <w:p>
            <w:pPr>
              <w:bidi w:val="0"/>
              <w:rPr>
                <w:rFonts w:hint="default"/>
                <w:color w:val="auto"/>
                <w:highlight w:val="none"/>
                <w:lang w:val="en-US" w:eastAsia="zh-CN"/>
              </w:rPr>
            </w:pPr>
            <w:r>
              <w:rPr>
                <w:rFonts w:hint="eastAsia"/>
                <w:color w:val="auto"/>
                <w:highlight w:val="none"/>
                <w:lang w:val="en-US" w:eastAsia="zh-CN"/>
              </w:rPr>
              <w:t>其他污染物：非甲烷总烃、氟化物、氯化氢。</w:t>
            </w:r>
          </w:p>
          <w:p>
            <w:pPr>
              <w:bidi w:val="0"/>
              <w:rPr>
                <w:rFonts w:hint="default"/>
                <w:color w:val="auto"/>
                <w:highlight w:val="none"/>
              </w:rPr>
            </w:pPr>
            <w:r>
              <w:rPr>
                <w:rFonts w:hint="default" w:ascii="Times New Roman" w:hAnsi="Times New Roman" w:cs="Times New Roman"/>
                <w:color w:val="auto"/>
                <w:highlight w:val="none"/>
              </w:rPr>
              <w:t>根据《关于印发&lt;建设项目主要污染物排放总量指标审核及管理暂行办法&gt; 的通知》（环发[2014]197号）中指标审核规定</w:t>
            </w:r>
            <w:r>
              <w:rPr>
                <w:rFonts w:hint="eastAsia" w:ascii="宋体" w:hAnsi="宋体" w:eastAsia="宋体" w:cs="宋体"/>
                <w:color w:val="auto"/>
                <w:highlight w:val="none"/>
              </w:rPr>
              <w:t>“火电、钢铁、水泥、造纸、印染行业建设项目所需替代的主要污染物排放总量指标采用绩效方法核定，其他行业依照国家或地方污染物排放标准及单位产品基准排水量（行业最高允许排水量）、烟气量等予以核定”。</w:t>
            </w:r>
            <w:r>
              <w:rPr>
                <w:rFonts w:hint="default" w:ascii="Times New Roman" w:hAnsi="Times New Roman" w:cs="Times New Roman"/>
                <w:color w:val="auto"/>
                <w:highlight w:val="none"/>
              </w:rPr>
              <w:t>项目污染</w:t>
            </w:r>
            <w:r>
              <w:rPr>
                <w:rFonts w:hint="default" w:ascii="Times New Roman" w:hAnsi="Times New Roman" w:cs="Times New Roman"/>
                <w:color w:val="auto"/>
                <w:highlight w:val="none"/>
                <w:lang w:val="en-US" w:eastAsia="zh-CN"/>
              </w:rPr>
              <w:t>物</w:t>
            </w:r>
            <w:r>
              <w:rPr>
                <w:rFonts w:hint="default" w:ascii="Times New Roman" w:hAnsi="Times New Roman" w:cs="Times New Roman"/>
                <w:color w:val="auto"/>
                <w:highlight w:val="none"/>
              </w:rPr>
              <w:t>总量指标按照排放标准进行核定。</w:t>
            </w:r>
          </w:p>
          <w:p>
            <w:pPr>
              <w:bidi w:val="0"/>
              <w:ind w:left="0" w:leftChars="0" w:firstLine="0" w:firstLineChars="0"/>
              <w:rPr>
                <w:rFonts w:hint="eastAsia"/>
                <w:color w:val="auto"/>
                <w:highlight w:val="none"/>
                <w:lang w:val="en-US" w:eastAsia="zh-CN"/>
              </w:rPr>
            </w:pPr>
            <w:r>
              <w:rPr>
                <w:rFonts w:hint="eastAsia"/>
                <w:color w:val="auto"/>
                <w:highlight w:val="none"/>
                <w:lang w:val="en-US" w:eastAsia="zh-CN"/>
              </w:rPr>
              <w:t>本项目建成后污染物总量控制指标为</w:t>
            </w:r>
            <w:r>
              <w:rPr>
                <w:rFonts w:hint="eastAsia"/>
                <w:color w:val="auto"/>
                <w:highlight w:val="none"/>
                <w:lang w:eastAsia="zh-CN"/>
              </w:rPr>
              <w:t>：</w:t>
            </w:r>
          </w:p>
          <w:p>
            <w:pPr>
              <w:numPr>
                <w:ilvl w:val="0"/>
                <w:numId w:val="26"/>
              </w:numPr>
              <w:bidi w:val="0"/>
              <w:rPr>
                <w:rFonts w:hint="eastAsia"/>
                <w:color w:val="auto"/>
                <w:highlight w:val="none"/>
                <w:lang w:val="en-US" w:eastAsia="zh-CN"/>
              </w:rPr>
            </w:pPr>
            <w:r>
              <w:rPr>
                <w:rFonts w:hint="eastAsia"/>
                <w:color w:val="auto"/>
                <w:highlight w:val="none"/>
                <w:lang w:val="en-US" w:eastAsia="zh-CN"/>
              </w:rPr>
              <w:t>废水</w:t>
            </w:r>
          </w:p>
          <w:p>
            <w:pPr>
              <w:pStyle w:val="44"/>
              <w:ind w:firstLine="480"/>
              <w:rPr>
                <w:rFonts w:hint="default" w:ascii="Times New Roman" w:hAnsi="Times New Roman" w:eastAsia="宋体" w:cs="Times New Roman"/>
                <w:color w:val="auto"/>
                <w:spacing w:val="0"/>
                <w:position w:val="0"/>
                <w:highlight w:val="none"/>
                <w:lang w:val="en-US" w:eastAsia="zh-CN"/>
              </w:rPr>
            </w:pPr>
            <w:r>
              <w:rPr>
                <w:rFonts w:hint="eastAsia" w:eastAsia="宋体" w:cs="Times New Roman"/>
                <w:color w:val="auto"/>
                <w:spacing w:val="0"/>
                <w:position w:val="0"/>
                <w:highlight w:val="none"/>
                <w:lang w:val="en-US" w:eastAsia="zh-CN"/>
              </w:rPr>
              <w:t>本项目无废水产生，COD、氨氮、总氮总量控制指标均为0t/a。根据环评及批复现有工程总量控制指标为COD0t/a，氨氮0t/a，故本项目建成后全厂废水总量控制指标为COD0t/a，氨氮0t/a，总氮0t/a。</w:t>
            </w:r>
          </w:p>
          <w:p>
            <w:pPr>
              <w:numPr>
                <w:ilvl w:val="0"/>
                <w:numId w:val="26"/>
              </w:numPr>
              <w:bidi w:val="0"/>
              <w:rPr>
                <w:rFonts w:hint="eastAsia"/>
                <w:color w:val="auto"/>
                <w:highlight w:val="none"/>
                <w:lang w:val="en-US" w:eastAsia="zh-CN"/>
              </w:rPr>
            </w:pPr>
            <w:r>
              <w:rPr>
                <w:rFonts w:hint="eastAsia"/>
                <w:color w:val="auto"/>
                <w:highlight w:val="none"/>
                <w:lang w:val="en-US" w:eastAsia="zh-CN"/>
              </w:rPr>
              <w:t>废气</w:t>
            </w:r>
          </w:p>
          <w:p>
            <w:pPr>
              <w:bidi w:val="0"/>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lang w:val="en-US" w:eastAsia="zh-CN"/>
              </w:rPr>
              <w:t>本项目</w:t>
            </w:r>
            <w:r>
              <w:rPr>
                <w:rFonts w:hint="default" w:ascii="Times New Roman" w:hAnsi="Times New Roman" w:eastAsia="宋体" w:cs="Times New Roman"/>
                <w:color w:val="auto"/>
                <w:sz w:val="24"/>
                <w:szCs w:val="24"/>
                <w:highlight w:val="none"/>
              </w:rPr>
              <w:t>不设锅炉等燃煤、燃气设施</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产生。因此，本项目SO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kern w:val="2"/>
                <w:sz w:val="24"/>
                <w:szCs w:val="24"/>
                <w:highlight w:val="none"/>
                <w:vertAlign w:val="subscript"/>
                <w:lang w:val="en-US" w:eastAsia="zh-CN" w:bidi="ar-SA"/>
              </w:rPr>
              <w:t>X</w:t>
            </w:r>
            <w:r>
              <w:rPr>
                <w:rFonts w:hint="default" w:ascii="Times New Roman" w:hAnsi="Times New Roman" w:eastAsia="宋体" w:cs="Times New Roman"/>
                <w:color w:val="auto"/>
                <w:sz w:val="24"/>
                <w:szCs w:val="24"/>
                <w:highlight w:val="none"/>
              </w:rPr>
              <w:t>总量控制指标均为0t/a。</w:t>
            </w:r>
            <w:r>
              <w:rPr>
                <w:rFonts w:hint="eastAsia" w:eastAsia="宋体" w:cs="Times New Roman"/>
                <w:color w:val="auto"/>
                <w:sz w:val="24"/>
                <w:szCs w:val="24"/>
                <w:highlight w:val="none"/>
                <w:lang w:val="en-US" w:eastAsia="zh-CN"/>
              </w:rPr>
              <w:t>根据</w:t>
            </w:r>
            <w:r>
              <w:rPr>
                <w:rFonts w:hint="eastAsia" w:eastAsia="宋体" w:cs="Times New Roman"/>
                <w:color w:val="auto"/>
                <w:spacing w:val="0"/>
                <w:position w:val="0"/>
                <w:highlight w:val="none"/>
                <w:lang w:val="en-US" w:eastAsia="zh-CN"/>
              </w:rPr>
              <w:t>环评及批复现有工程总量控制指标为SO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cs="Times New Roman"/>
                <w:color w:val="auto"/>
                <w:spacing w:val="0"/>
                <w:position w:val="0"/>
                <w:highlight w:val="none"/>
                <w:lang w:val="en-US" w:eastAsia="zh-CN"/>
              </w:rPr>
              <w:t>，故本项目建成后全厂废气总量控制指标为</w:t>
            </w:r>
            <w:r>
              <w:rPr>
                <w:rFonts w:hint="eastAsia" w:eastAsia="宋体" w:cs="Times New Roman"/>
                <w:color w:val="auto"/>
                <w:spacing w:val="0"/>
                <w:position w:val="0"/>
                <w:highlight w:val="none"/>
                <w:lang w:val="en-US" w:eastAsia="zh-CN"/>
              </w:rPr>
              <w:t>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w:t>
            </w:r>
            <w:r>
              <w:rPr>
                <w:rFonts w:hint="eastAsia" w:cs="Times New Roman"/>
                <w:color w:val="auto"/>
                <w:spacing w:val="0"/>
                <w:position w:val="0"/>
                <w:highlight w:val="none"/>
                <w:lang w:val="en-US" w:eastAsia="zh-CN"/>
              </w:rPr>
              <w:t>。</w:t>
            </w:r>
          </w:p>
          <w:p>
            <w:pPr>
              <w:bidi w:val="0"/>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3</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其他污染物</w:t>
            </w:r>
          </w:p>
          <w:p>
            <w:pPr>
              <w:bidi w:val="0"/>
              <w:rPr>
                <w:rFonts w:hint="eastAsia"/>
                <w:color w:val="auto"/>
                <w:sz w:val="24"/>
                <w:highlight w:val="none"/>
                <w:lang w:val="en-US" w:eastAsia="zh-CN"/>
              </w:rPr>
            </w:pPr>
            <w:r>
              <w:rPr>
                <w:rFonts w:hint="eastAsia"/>
                <w:color w:val="auto"/>
                <w:sz w:val="24"/>
                <w:highlight w:val="none"/>
                <w:lang w:val="en-US" w:eastAsia="zh-CN"/>
              </w:rPr>
              <w:t>本项目建成后，印刷、印刷烘干、覆膜废气（本项目新增）与烘干、烧结还原废气（现有）一起采用风量为15000m</w:t>
            </w:r>
            <w:r>
              <w:rPr>
                <w:rFonts w:hint="eastAsia"/>
                <w:color w:val="auto"/>
                <w:sz w:val="24"/>
                <w:highlight w:val="none"/>
                <w:vertAlign w:val="superscript"/>
                <w:lang w:val="en-US" w:eastAsia="zh-CN"/>
              </w:rPr>
              <w:t>3</w:t>
            </w:r>
            <w:r>
              <w:rPr>
                <w:rFonts w:hint="eastAsia"/>
                <w:color w:val="auto"/>
                <w:sz w:val="24"/>
                <w:highlight w:val="none"/>
                <w:lang w:val="en-US" w:eastAsia="zh-CN"/>
              </w:rPr>
              <w:t>/h的风机引入1套两级活性炭吸附装置进行处理，处理后与经三级串联的碱液喷淋塔（风机风量1800m</w:t>
            </w:r>
            <w:r>
              <w:rPr>
                <w:rFonts w:hint="eastAsia"/>
                <w:color w:val="auto"/>
                <w:sz w:val="24"/>
                <w:highlight w:val="none"/>
                <w:vertAlign w:val="superscript"/>
                <w:lang w:val="en-US" w:eastAsia="zh-CN"/>
              </w:rPr>
              <w:t>3</w:t>
            </w:r>
            <w:r>
              <w:rPr>
                <w:rFonts w:hint="eastAsia"/>
                <w:color w:val="auto"/>
                <w:sz w:val="24"/>
                <w:highlight w:val="none"/>
                <w:lang w:val="en-US" w:eastAsia="zh-CN"/>
              </w:rPr>
              <w:t>/h）净化处理的镀膜废气一起通过1根30m高排气筒排放，</w:t>
            </w:r>
            <w:r>
              <w:rPr>
                <w:rFonts w:hint="default"/>
                <w:color w:val="auto"/>
                <w:highlight w:val="none"/>
              </w:rPr>
              <w:t>根据执行标准</w:t>
            </w:r>
            <w:r>
              <w:rPr>
                <w:rFonts w:hint="eastAsia"/>
                <w:color w:val="auto"/>
                <w:highlight w:val="none"/>
                <w:lang w:val="en-US" w:eastAsia="zh-CN"/>
              </w:rPr>
              <w:t>和风机风量</w:t>
            </w:r>
            <w:r>
              <w:rPr>
                <w:rFonts w:hint="default"/>
                <w:color w:val="auto"/>
                <w:highlight w:val="none"/>
              </w:rPr>
              <w:t>核算总量</w:t>
            </w:r>
            <w:r>
              <w:rPr>
                <w:rFonts w:hint="eastAsia"/>
                <w:color w:val="auto"/>
                <w:highlight w:val="none"/>
                <w:lang w:eastAsia="zh-CN"/>
              </w:rPr>
              <w:t>，</w:t>
            </w:r>
            <w:r>
              <w:rPr>
                <w:rFonts w:hint="eastAsia"/>
                <w:color w:val="auto"/>
                <w:sz w:val="24"/>
                <w:highlight w:val="none"/>
                <w:lang w:val="en-US" w:eastAsia="zh-CN"/>
              </w:rPr>
              <w:t>项目建成后全厂其他污染物总量控制指标为：</w:t>
            </w:r>
          </w:p>
          <w:p>
            <w:pPr>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非甲烷总烃</w:t>
            </w:r>
            <w:r>
              <w:rPr>
                <w:rFonts w:hint="eastAsia" w:ascii="Times New Roman" w:hAnsi="Times New Roman" w:cs="Times New Roman"/>
                <w:color w:val="auto"/>
                <w:sz w:val="24"/>
                <w:highlight w:val="none"/>
                <w:lang w:val="en-US" w:eastAsia="zh-CN"/>
              </w:rPr>
              <w:t>总量控制指标</w:t>
            </w:r>
            <w:r>
              <w:rPr>
                <w:rFonts w:hint="default" w:ascii="Times New Roman" w:hAnsi="Times New Roman" w:cs="Times New Roman"/>
                <w:color w:val="auto"/>
                <w:sz w:val="24"/>
                <w:highlight w:val="none"/>
                <w:lang w:val="en-US" w:eastAsia="zh-CN"/>
              </w:rPr>
              <w:t>=（15000m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/h+1800m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/h）×4800h/a×50mg/m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10</w:t>
            </w:r>
            <w:r>
              <w:rPr>
                <w:rFonts w:hint="eastAsia" w:ascii="Times New Roman" w:hAnsi="Times New Roman" w:cs="Times New Roman"/>
                <w:color w:val="auto"/>
                <w:sz w:val="24"/>
                <w:highlight w:val="none"/>
                <w:vertAlign w:val="superscript"/>
                <w:lang w:val="en-US" w:eastAsia="zh-CN"/>
              </w:rPr>
              <w:t>-9</w:t>
            </w:r>
            <w:r>
              <w:rPr>
                <w:rFonts w:hint="eastAsia" w:ascii="Times New Roman" w:hAnsi="Times New Roman" w:cs="Times New Roman"/>
                <w:color w:val="auto"/>
                <w:sz w:val="24"/>
                <w:highlight w:val="none"/>
                <w:lang w:val="en-US" w:eastAsia="zh-CN"/>
              </w:rPr>
              <w:t>=4.032t/a；</w:t>
            </w:r>
          </w:p>
          <w:p>
            <w:pPr>
              <w:keepNext w:val="0"/>
              <w:keepLines w:val="0"/>
              <w:pageBreakBefore w:val="0"/>
              <w:widowControl w:val="0"/>
              <w:kinsoku/>
              <w:wordWrap w:val="0"/>
              <w:overflowPunct/>
              <w:topLinePunct w:val="0"/>
              <w:autoSpaceDE/>
              <w:autoSpaceDN/>
              <w:bidi w:val="0"/>
              <w:adjustRightInd/>
              <w:snapToGrid/>
              <w:textAlignment w:val="auto"/>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pacing w:val="6"/>
                <w:sz w:val="24"/>
                <w:highlight w:val="none"/>
                <w:lang w:val="en-US" w:eastAsia="zh-CN"/>
              </w:rPr>
              <w:t>氯化氢总量控制指标</w:t>
            </w:r>
            <w:r>
              <w:rPr>
                <w:rFonts w:hint="default" w:ascii="Times New Roman" w:hAnsi="Times New Roman" w:cs="Times New Roman"/>
                <w:color w:val="auto"/>
                <w:spacing w:val="6"/>
                <w:sz w:val="24"/>
                <w:highlight w:val="none"/>
                <w:lang w:val="en-US" w:eastAsia="zh-CN"/>
              </w:rPr>
              <w:t>=（15000m</w:t>
            </w:r>
            <w:r>
              <w:rPr>
                <w:rFonts w:hint="default" w:ascii="Times New Roman" w:hAnsi="Times New Roman" w:cs="Times New Roman"/>
                <w:color w:val="auto"/>
                <w:spacing w:val="6"/>
                <w:sz w:val="24"/>
                <w:highlight w:val="none"/>
                <w:vertAlign w:val="superscript"/>
                <w:lang w:val="en-US" w:eastAsia="zh-CN"/>
              </w:rPr>
              <w:t>3</w:t>
            </w:r>
            <w:r>
              <w:rPr>
                <w:rFonts w:hint="default" w:ascii="Times New Roman" w:hAnsi="Times New Roman" w:cs="Times New Roman"/>
                <w:color w:val="auto"/>
                <w:spacing w:val="6"/>
                <w:sz w:val="24"/>
                <w:highlight w:val="none"/>
                <w:lang w:val="en-US" w:eastAsia="zh-CN"/>
              </w:rPr>
              <w:t>/h+1800m</w:t>
            </w:r>
            <w:r>
              <w:rPr>
                <w:rFonts w:hint="default" w:ascii="Times New Roman" w:hAnsi="Times New Roman" w:cs="Times New Roman"/>
                <w:color w:val="auto"/>
                <w:spacing w:val="6"/>
                <w:sz w:val="24"/>
                <w:highlight w:val="none"/>
                <w:vertAlign w:val="superscript"/>
                <w:lang w:val="en-US" w:eastAsia="zh-CN"/>
              </w:rPr>
              <w:t>3</w:t>
            </w:r>
            <w:r>
              <w:rPr>
                <w:rFonts w:hint="default" w:ascii="Times New Roman" w:hAnsi="Times New Roman" w:cs="Times New Roman"/>
                <w:color w:val="auto"/>
                <w:spacing w:val="6"/>
                <w:sz w:val="24"/>
                <w:highlight w:val="none"/>
                <w:lang w:val="en-US" w:eastAsia="zh-CN"/>
              </w:rPr>
              <w:t>/h）×4800h/a×</w:t>
            </w:r>
            <w:r>
              <w:rPr>
                <w:rFonts w:hint="eastAsia" w:ascii="Times New Roman" w:hAnsi="Times New Roman" w:cs="Times New Roman"/>
                <w:color w:val="auto"/>
                <w:spacing w:val="6"/>
                <w:sz w:val="24"/>
                <w:highlight w:val="none"/>
                <w:lang w:val="en-US" w:eastAsia="zh-CN"/>
              </w:rPr>
              <w:t>10</w:t>
            </w:r>
            <w:r>
              <w:rPr>
                <w:rFonts w:hint="default" w:ascii="Times New Roman" w:hAnsi="Times New Roman" w:cs="Times New Roman"/>
                <w:color w:val="auto"/>
                <w:spacing w:val="6"/>
                <w:sz w:val="24"/>
                <w:highlight w:val="none"/>
                <w:lang w:val="en-US" w:eastAsia="zh-CN"/>
              </w:rPr>
              <w:t>mg/m</w:t>
            </w:r>
            <w:r>
              <w:rPr>
                <w:rFonts w:hint="default" w:ascii="Times New Roman" w:hAnsi="Times New Roman" w:cs="Times New Roman"/>
                <w:color w:val="auto"/>
                <w:spacing w:val="6"/>
                <w:sz w:val="24"/>
                <w:highlight w:val="none"/>
                <w:vertAlign w:val="superscript"/>
                <w:lang w:val="en-US" w:eastAsia="zh-CN"/>
              </w:rPr>
              <w:t>3</w:t>
            </w:r>
            <w:r>
              <w:rPr>
                <w:rFonts w:hint="default" w:ascii="Times New Roman" w:hAnsi="Times New Roman" w:cs="Times New Roman"/>
                <w:color w:val="auto"/>
                <w:spacing w:val="6"/>
                <w:sz w:val="24"/>
                <w:highlight w:val="none"/>
                <w:lang w:val="en-US" w:eastAsia="zh-CN"/>
              </w:rPr>
              <w:t>×</w:t>
            </w:r>
            <w:r>
              <w:rPr>
                <w:rFonts w:hint="eastAsia" w:ascii="Times New Roman" w:hAnsi="Times New Roman" w:cs="Times New Roman"/>
                <w:color w:val="auto"/>
                <w:spacing w:val="6"/>
                <w:sz w:val="24"/>
                <w:highlight w:val="none"/>
                <w:lang w:val="en-US" w:eastAsia="zh-CN"/>
              </w:rPr>
              <w:t>10</w:t>
            </w:r>
            <w:r>
              <w:rPr>
                <w:rFonts w:hint="eastAsia" w:ascii="Times New Roman" w:hAnsi="Times New Roman" w:cs="Times New Roman"/>
                <w:color w:val="auto"/>
                <w:spacing w:val="6"/>
                <w:sz w:val="24"/>
                <w:highlight w:val="none"/>
                <w:vertAlign w:val="superscript"/>
                <w:lang w:val="en-US" w:eastAsia="zh-CN"/>
              </w:rPr>
              <w:t>-9</w:t>
            </w:r>
            <w:r>
              <w:rPr>
                <w:rFonts w:hint="eastAsia" w:ascii="Times New Roman" w:hAnsi="Times New Roman" w:cs="Times New Roman"/>
                <w:color w:val="auto"/>
                <w:spacing w:val="6"/>
                <w:sz w:val="24"/>
                <w:highlight w:val="none"/>
                <w:lang w:val="en-US" w:eastAsia="zh-CN"/>
              </w:rPr>
              <w:t>=</w:t>
            </w:r>
            <w:r>
              <w:rPr>
                <w:rFonts w:hint="eastAsia" w:ascii="Times New Roman" w:hAnsi="Times New Roman" w:cs="Times New Roman"/>
                <w:color w:val="auto"/>
                <w:sz w:val="24"/>
                <w:highlight w:val="none"/>
                <w:lang w:val="en-US" w:eastAsia="zh-CN"/>
              </w:rPr>
              <w:t>0.806t/a；</w:t>
            </w:r>
          </w:p>
          <w:p>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pacing w:val="6"/>
                <w:sz w:val="24"/>
                <w:highlight w:val="none"/>
                <w:lang w:val="en-US" w:eastAsia="zh-CN"/>
              </w:rPr>
              <w:t>氟化物总量控制指标</w:t>
            </w:r>
            <w:r>
              <w:rPr>
                <w:rFonts w:hint="default" w:ascii="Times New Roman" w:hAnsi="Times New Roman" w:cs="Times New Roman"/>
                <w:color w:val="auto"/>
                <w:spacing w:val="6"/>
                <w:sz w:val="24"/>
                <w:highlight w:val="none"/>
                <w:lang w:val="en-US" w:eastAsia="zh-CN"/>
              </w:rPr>
              <w:t>=</w:t>
            </w:r>
            <w:r>
              <w:rPr>
                <w:rFonts w:hint="default" w:ascii="Times New Roman" w:hAnsi="Times New Roman" w:cs="Times New Roman"/>
                <w:color w:val="auto"/>
                <w:spacing w:val="11"/>
                <w:sz w:val="24"/>
                <w:highlight w:val="none"/>
                <w:lang w:val="en-US" w:eastAsia="zh-CN"/>
              </w:rPr>
              <w:t>（15000m</w:t>
            </w:r>
            <w:r>
              <w:rPr>
                <w:rFonts w:hint="default" w:ascii="Times New Roman" w:hAnsi="Times New Roman" w:cs="Times New Roman"/>
                <w:color w:val="auto"/>
                <w:spacing w:val="11"/>
                <w:sz w:val="24"/>
                <w:highlight w:val="none"/>
                <w:vertAlign w:val="superscript"/>
                <w:lang w:val="en-US" w:eastAsia="zh-CN"/>
              </w:rPr>
              <w:t>3</w:t>
            </w:r>
            <w:r>
              <w:rPr>
                <w:rFonts w:hint="default" w:ascii="Times New Roman" w:hAnsi="Times New Roman" w:cs="Times New Roman"/>
                <w:color w:val="auto"/>
                <w:spacing w:val="11"/>
                <w:sz w:val="24"/>
                <w:highlight w:val="none"/>
                <w:lang w:val="en-US" w:eastAsia="zh-CN"/>
              </w:rPr>
              <w:t>/h+1800m</w:t>
            </w:r>
            <w:r>
              <w:rPr>
                <w:rFonts w:hint="default" w:ascii="Times New Roman" w:hAnsi="Times New Roman" w:cs="Times New Roman"/>
                <w:color w:val="auto"/>
                <w:spacing w:val="11"/>
                <w:sz w:val="24"/>
                <w:highlight w:val="none"/>
                <w:vertAlign w:val="superscript"/>
                <w:lang w:val="en-US" w:eastAsia="zh-CN"/>
              </w:rPr>
              <w:t>3</w:t>
            </w:r>
            <w:r>
              <w:rPr>
                <w:rFonts w:hint="default" w:ascii="Times New Roman" w:hAnsi="Times New Roman" w:cs="Times New Roman"/>
                <w:color w:val="auto"/>
                <w:spacing w:val="11"/>
                <w:sz w:val="24"/>
                <w:highlight w:val="none"/>
                <w:lang w:val="en-US" w:eastAsia="zh-CN"/>
              </w:rPr>
              <w:t>/h）×4800h/a×</w:t>
            </w:r>
            <w:r>
              <w:rPr>
                <w:rFonts w:hint="eastAsia" w:ascii="Times New Roman" w:hAnsi="Times New Roman" w:cs="Times New Roman"/>
                <w:color w:val="auto"/>
                <w:spacing w:val="11"/>
                <w:sz w:val="24"/>
                <w:highlight w:val="none"/>
                <w:lang w:val="en-US" w:eastAsia="zh-CN"/>
              </w:rPr>
              <w:t>3</w:t>
            </w:r>
            <w:r>
              <w:rPr>
                <w:rFonts w:hint="default" w:ascii="Times New Roman" w:hAnsi="Times New Roman" w:cs="Times New Roman"/>
                <w:color w:val="auto"/>
                <w:spacing w:val="11"/>
                <w:sz w:val="24"/>
                <w:highlight w:val="none"/>
                <w:lang w:val="en-US" w:eastAsia="zh-CN"/>
              </w:rPr>
              <w:t>mg/m</w:t>
            </w:r>
            <w:r>
              <w:rPr>
                <w:rFonts w:hint="default" w:ascii="Times New Roman" w:hAnsi="Times New Roman" w:cs="Times New Roman"/>
                <w:color w:val="auto"/>
                <w:spacing w:val="11"/>
                <w:sz w:val="24"/>
                <w:highlight w:val="none"/>
                <w:vertAlign w:val="superscript"/>
                <w:lang w:val="en-US" w:eastAsia="zh-CN"/>
              </w:rPr>
              <w:t>3</w:t>
            </w:r>
            <w:r>
              <w:rPr>
                <w:rFonts w:hint="default" w:ascii="Times New Roman" w:hAnsi="Times New Roman" w:cs="Times New Roman"/>
                <w:color w:val="auto"/>
                <w:spacing w:val="11"/>
                <w:sz w:val="24"/>
                <w:highlight w:val="none"/>
                <w:lang w:val="en-US" w:eastAsia="zh-CN"/>
              </w:rPr>
              <w:t>×</w:t>
            </w:r>
            <w:r>
              <w:rPr>
                <w:rFonts w:hint="eastAsia" w:ascii="Times New Roman" w:hAnsi="Times New Roman" w:cs="Times New Roman"/>
                <w:color w:val="auto"/>
                <w:spacing w:val="11"/>
                <w:sz w:val="24"/>
                <w:highlight w:val="none"/>
                <w:lang w:val="en-US" w:eastAsia="zh-CN"/>
              </w:rPr>
              <w:t>10</w:t>
            </w:r>
            <w:r>
              <w:rPr>
                <w:rFonts w:hint="eastAsia" w:ascii="Times New Roman" w:hAnsi="Times New Roman" w:cs="Times New Roman"/>
                <w:color w:val="auto"/>
                <w:spacing w:val="11"/>
                <w:sz w:val="24"/>
                <w:highlight w:val="none"/>
                <w:vertAlign w:val="superscript"/>
                <w:lang w:val="en-US" w:eastAsia="zh-CN"/>
              </w:rPr>
              <w:t>-9</w:t>
            </w:r>
            <w:r>
              <w:rPr>
                <w:rFonts w:hint="eastAsia" w:ascii="Times New Roman" w:hAnsi="Times New Roman" w:cs="Times New Roman"/>
                <w:color w:val="auto"/>
                <w:spacing w:val="6"/>
                <w:sz w:val="24"/>
                <w:highlight w:val="none"/>
                <w:lang w:val="en-US" w:eastAsia="zh-CN"/>
              </w:rPr>
              <w:t>=</w:t>
            </w:r>
            <w:r>
              <w:rPr>
                <w:rFonts w:hint="eastAsia" w:ascii="Times New Roman" w:hAnsi="Times New Roman" w:cs="Times New Roman"/>
                <w:color w:val="auto"/>
                <w:sz w:val="24"/>
                <w:highlight w:val="none"/>
                <w:lang w:val="en-US" w:eastAsia="zh-CN"/>
              </w:rPr>
              <w:t>0.242t/a；</w:t>
            </w:r>
          </w:p>
          <w:p>
            <w:pPr>
              <w:bidi w:val="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综上，本项目建成后全厂总量控制指标为</w:t>
            </w:r>
            <w:r>
              <w:rPr>
                <w:rFonts w:hint="eastAsia" w:eastAsia="宋体" w:cs="Times New Roman"/>
                <w:color w:val="auto"/>
                <w:spacing w:val="0"/>
                <w:position w:val="0"/>
                <w:highlight w:val="none"/>
                <w:lang w:val="en-US" w:eastAsia="zh-CN"/>
              </w:rPr>
              <w:t>COD0t/a，氨氮0t/a，总氮0t/a，SO</w:t>
            </w:r>
            <w:r>
              <w:rPr>
                <w:rFonts w:hint="eastAsia" w:eastAsia="宋体" w:cs="Times New Roman"/>
                <w:color w:val="auto"/>
                <w:spacing w:val="0"/>
                <w:position w:val="0"/>
                <w:highlight w:val="none"/>
                <w:vertAlign w:val="subscript"/>
                <w:lang w:val="en-US" w:eastAsia="zh-CN"/>
              </w:rPr>
              <w:t>2</w:t>
            </w:r>
            <w:r>
              <w:rPr>
                <w:rFonts w:hint="eastAsia" w:eastAsia="宋体" w:cs="Times New Roman"/>
                <w:color w:val="auto"/>
                <w:spacing w:val="0"/>
                <w:position w:val="0"/>
                <w:highlight w:val="none"/>
                <w:lang w:val="en-US" w:eastAsia="zh-CN"/>
              </w:rPr>
              <w:t>0t/a，NOx0t/a，非甲烷总烃4.032t/a，氯化氢0.806t/a，氟化物0.242t/a。</w:t>
            </w:r>
          </w:p>
          <w:p>
            <w:pPr>
              <w:bidi w:val="0"/>
              <w:rPr>
                <w:rFonts w:hint="default"/>
                <w:color w:val="auto"/>
                <w:highlight w:val="none"/>
                <w:lang w:val="en-US" w:eastAsia="zh-CN"/>
              </w:rPr>
            </w:pPr>
            <w:r>
              <w:rPr>
                <w:rFonts w:hint="eastAsia"/>
                <w:color w:val="auto"/>
                <w:highlight w:val="none"/>
                <w:lang w:val="en-US" w:eastAsia="zh-CN"/>
              </w:rPr>
              <w:t>根据现有工程环评及批复同时结合现行污染物排放标准及实际情况，本项目建成后，总量控制指标变化情况见下表。</w:t>
            </w:r>
          </w:p>
          <w:p>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 xml:space="preserve">26 </w:t>
            </w:r>
            <w:r>
              <w:rPr>
                <w:rFonts w:hint="default" w:ascii="Times New Roman" w:hAnsi="Times New Roman" w:eastAsia="宋体" w:cs="Times New Roman"/>
                <w:b/>
                <w:bCs/>
                <w:color w:val="auto"/>
                <w:sz w:val="21"/>
                <w:szCs w:val="21"/>
                <w:highlight w:val="none"/>
                <w:lang w:eastAsia="zh-CN"/>
              </w:rPr>
              <w:t xml:space="preserve"> </w:t>
            </w:r>
            <w:r>
              <w:rPr>
                <w:rFonts w:hint="eastAsia" w:cs="Times New Roman"/>
                <w:b/>
                <w:bCs/>
                <w:color w:val="auto"/>
                <w:sz w:val="21"/>
                <w:szCs w:val="21"/>
                <w:highlight w:val="none"/>
                <w:lang w:val="en-US" w:eastAsia="zh-CN"/>
              </w:rPr>
              <w:t>总量控制指标</w:t>
            </w:r>
            <w:r>
              <w:rPr>
                <w:rFonts w:hint="default" w:ascii="Times New Roman" w:hAnsi="Times New Roman" w:eastAsia="宋体" w:cs="Times New Roman"/>
                <w:b/>
                <w:bCs/>
                <w:color w:val="auto"/>
                <w:sz w:val="21"/>
                <w:szCs w:val="21"/>
                <w:highlight w:val="none"/>
                <w:lang w:eastAsia="zh-CN"/>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925"/>
              <w:gridCol w:w="1866"/>
              <w:gridCol w:w="1872"/>
              <w:gridCol w:w="1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类别</w:t>
                  </w: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污染物</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现有工程总量控制指标（t/a）</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本项目建成后全厂（t/a）</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总量指标变化量（t/a）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0.378</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4.032</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0.242</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氯化氢</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0.043</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0.806</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3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废水</w:t>
                  </w: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3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1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87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7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bl>
          <w:p>
            <w:pPr>
              <w:bidi w:val="0"/>
              <w:rPr>
                <w:rFonts w:ascii="Times New Roman" w:eastAsia="宋体"/>
                <w:color w:val="auto"/>
                <w:sz w:val="24"/>
                <w:highlight w:val="none"/>
              </w:rPr>
            </w:pPr>
          </w:p>
          <w:p>
            <w:pPr>
              <w:bidi w:val="0"/>
              <w:rPr>
                <w:rFonts w:ascii="Times New Roman" w:eastAsia="宋体"/>
                <w:color w:val="auto"/>
                <w:sz w:val="24"/>
                <w:highlight w:val="none"/>
              </w:rPr>
            </w:pPr>
          </w:p>
          <w:p>
            <w:pPr>
              <w:bidi w:val="0"/>
              <w:rPr>
                <w:rFonts w:ascii="Times New Roman" w:eastAsia="宋体"/>
                <w:color w:val="auto"/>
                <w:sz w:val="24"/>
                <w:highlight w:val="none"/>
              </w:rPr>
            </w:pPr>
          </w:p>
          <w:p>
            <w:pPr>
              <w:bidi w:val="0"/>
              <w:rPr>
                <w:rFonts w:ascii="Times New Roman" w:eastAsia="宋体"/>
                <w:color w:val="auto"/>
                <w:sz w:val="24"/>
                <w:highlight w:val="none"/>
              </w:rPr>
            </w:pPr>
          </w:p>
          <w:p>
            <w:pPr>
              <w:bidi w:val="0"/>
              <w:rPr>
                <w:rFonts w:ascii="Times New Roman" w:eastAsia="宋体"/>
                <w:color w:val="auto"/>
                <w:sz w:val="24"/>
                <w:highlight w:val="none"/>
              </w:rPr>
            </w:pPr>
          </w:p>
          <w:p>
            <w:pPr>
              <w:bidi w:val="0"/>
              <w:ind w:left="0" w:leftChars="0" w:firstLine="0" w:firstLineChars="0"/>
              <w:rPr>
                <w:rFonts w:hint="eastAsia" w:ascii="Times New Roman" w:hAnsi="Times New Roman" w:eastAsia="宋体" w:cs="Times New Roman"/>
                <w:color w:val="auto"/>
                <w:kern w:val="2"/>
                <w:sz w:val="24"/>
                <w:szCs w:val="24"/>
                <w:highlight w:val="none"/>
                <w:lang w:val="en-US" w:eastAsia="zh-CN" w:bidi="ar-SA"/>
              </w:rPr>
            </w:pPr>
          </w:p>
        </w:tc>
      </w:tr>
    </w:tbl>
    <w:p>
      <w:pPr>
        <w:rPr>
          <w:rFonts w:hint="eastAsia" w:ascii="黑体" w:hAnsi="黑体" w:eastAsia="黑体"/>
          <w:snapToGrid w:val="0"/>
          <w:color w:val="auto"/>
          <w:sz w:val="30"/>
          <w:szCs w:val="30"/>
          <w:highlight w:val="none"/>
        </w:rPr>
      </w:pPr>
      <w:bookmarkStart w:id="5" w:name="_Toc1102"/>
      <w:r>
        <w:rPr>
          <w:rFonts w:hint="eastAsia" w:ascii="黑体" w:hAnsi="黑体" w:eastAsia="黑体"/>
          <w:snapToGrid w:val="0"/>
          <w:color w:val="auto"/>
          <w:sz w:val="30"/>
          <w:szCs w:val="30"/>
          <w:highlight w:val="none"/>
        </w:rPr>
        <w:br w:type="page"/>
      </w: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四、主要环境影响和保护措施</w:t>
      </w:r>
      <w:bookmarkEnd w:id="5"/>
    </w:p>
    <w:tbl>
      <w:tblPr>
        <w:tblStyle w:val="24"/>
        <w:tblW w:w="9354"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06"/>
        <w:gridCol w:w="854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2739" w:hRule="atLeast"/>
          <w:jc w:val="center"/>
        </w:trPr>
        <w:tc>
          <w:tcPr>
            <w:tcW w:w="806" w:type="dxa"/>
            <w:tcBorders>
              <w:tl2br w:val="nil"/>
              <w:tr2bl w:val="nil"/>
            </w:tcBorders>
            <w:shd w:val="clear" w:color="auto" w:fill="FFFFFF"/>
            <w:noWrap w:val="0"/>
            <w:tcMar>
              <w:left w:w="28" w:type="dxa"/>
              <w:right w:w="28" w:type="dxa"/>
            </w:tcMar>
            <w:vAlign w:val="center"/>
          </w:tcPr>
          <w:p>
            <w:pPr>
              <w:pStyle w:val="32"/>
              <w:bidi w:val="0"/>
              <w:rPr>
                <w:rFonts w:hint="eastAsia"/>
                <w:color w:val="auto"/>
                <w:sz w:val="24"/>
                <w:szCs w:val="24"/>
                <w:highlight w:val="none"/>
              </w:rPr>
            </w:pPr>
            <w:r>
              <w:rPr>
                <w:rFonts w:hint="eastAsia"/>
                <w:color w:val="auto"/>
                <w:sz w:val="24"/>
                <w:szCs w:val="24"/>
                <w:highlight w:val="none"/>
              </w:rPr>
              <w:t>施工</w:t>
            </w:r>
          </w:p>
          <w:p>
            <w:pPr>
              <w:pStyle w:val="32"/>
              <w:bidi w:val="0"/>
              <w:rPr>
                <w:rFonts w:hint="eastAsia"/>
                <w:color w:val="auto"/>
                <w:sz w:val="24"/>
                <w:szCs w:val="24"/>
                <w:highlight w:val="none"/>
              </w:rPr>
            </w:pPr>
            <w:r>
              <w:rPr>
                <w:rFonts w:hint="eastAsia"/>
                <w:color w:val="auto"/>
                <w:sz w:val="24"/>
                <w:szCs w:val="24"/>
                <w:highlight w:val="none"/>
              </w:rPr>
              <w:t>期环</w:t>
            </w:r>
          </w:p>
          <w:p>
            <w:pPr>
              <w:pStyle w:val="32"/>
              <w:bidi w:val="0"/>
              <w:rPr>
                <w:rFonts w:hint="eastAsia"/>
                <w:color w:val="auto"/>
                <w:sz w:val="24"/>
                <w:szCs w:val="24"/>
                <w:highlight w:val="none"/>
              </w:rPr>
            </w:pPr>
            <w:r>
              <w:rPr>
                <w:rFonts w:hint="eastAsia"/>
                <w:color w:val="auto"/>
                <w:sz w:val="24"/>
                <w:szCs w:val="24"/>
                <w:highlight w:val="none"/>
              </w:rPr>
              <w:t>境保</w:t>
            </w:r>
          </w:p>
          <w:p>
            <w:pPr>
              <w:pStyle w:val="32"/>
              <w:bidi w:val="0"/>
              <w:rPr>
                <w:rFonts w:hint="eastAsia"/>
                <w:color w:val="auto"/>
                <w:sz w:val="24"/>
                <w:szCs w:val="24"/>
                <w:highlight w:val="none"/>
              </w:rPr>
            </w:pPr>
            <w:r>
              <w:rPr>
                <w:rFonts w:hint="eastAsia"/>
                <w:color w:val="auto"/>
                <w:sz w:val="24"/>
                <w:szCs w:val="24"/>
                <w:highlight w:val="none"/>
              </w:rPr>
              <w:t>护措</w:t>
            </w:r>
          </w:p>
          <w:p>
            <w:pPr>
              <w:pStyle w:val="32"/>
              <w:bidi w:val="0"/>
              <w:rPr>
                <w:rFonts w:hint="eastAsia" w:cs="宋体"/>
                <w:bCs/>
                <w:color w:val="auto"/>
                <w:kern w:val="2"/>
                <w:sz w:val="24"/>
                <w:szCs w:val="24"/>
                <w:highlight w:val="none"/>
              </w:rPr>
            </w:pPr>
            <w:r>
              <w:rPr>
                <w:rFonts w:hint="eastAsia"/>
                <w:color w:val="auto"/>
                <w:sz w:val="24"/>
                <w:szCs w:val="24"/>
                <w:highlight w:val="none"/>
              </w:rPr>
              <w:t>施</w:t>
            </w:r>
          </w:p>
        </w:tc>
        <w:tc>
          <w:tcPr>
            <w:tcW w:w="8548" w:type="dxa"/>
            <w:tcBorders>
              <w:tl2br w:val="nil"/>
              <w:tr2bl w:val="nil"/>
            </w:tcBorders>
            <w:shd w:val="clear" w:color="auto" w:fill="FFFFFF"/>
            <w:noWrap w:val="0"/>
            <w:vAlign w:val="center"/>
          </w:tcPr>
          <w:p>
            <w:pPr>
              <w:bidi w:val="0"/>
              <w:rPr>
                <w:rFonts w:hint="default"/>
                <w:color w:val="auto"/>
                <w:highlight w:val="none"/>
                <w:lang w:val="en-US" w:eastAsia="zh-CN"/>
              </w:rPr>
            </w:pPr>
            <w:r>
              <w:rPr>
                <w:rFonts w:hint="eastAsia"/>
                <w:color w:val="auto"/>
                <w:highlight w:val="none"/>
                <w:lang w:val="en-US" w:eastAsia="zh-CN"/>
              </w:rPr>
              <w:t>本项目在现有车间内进行建设，施工期主要为设备安装、调试及部分环保设备的拆除</w:t>
            </w:r>
            <w:r>
              <w:rPr>
                <w:rFonts w:hint="default"/>
                <w:color w:val="auto"/>
                <w:highlight w:val="none"/>
                <w:lang w:val="en-US" w:eastAsia="zh-CN"/>
              </w:rPr>
              <w:t>，</w:t>
            </w:r>
            <w:r>
              <w:rPr>
                <w:rFonts w:hint="eastAsia"/>
                <w:color w:val="auto"/>
                <w:highlight w:val="none"/>
                <w:lang w:val="en-US" w:eastAsia="zh-CN"/>
              </w:rPr>
              <w:t>环保设备的拆除不涉及土建工程，施工过程产生的环境影响主要为设备安装、调试及环保设备拆除过程产生的噪声、固废。项目拆除的环保设备中属于危险固废的，应交有资质单位处置，其他固废按环保要求，妥善处置。</w:t>
            </w:r>
            <w:r>
              <w:rPr>
                <w:rFonts w:hint="default"/>
                <w:color w:val="auto"/>
                <w:highlight w:val="none"/>
                <w:lang w:val="en-US" w:eastAsia="zh-CN"/>
              </w:rPr>
              <w:t>项目施工期较短，</w:t>
            </w:r>
            <w:r>
              <w:rPr>
                <w:rFonts w:hint="eastAsia"/>
                <w:color w:val="auto"/>
                <w:highlight w:val="none"/>
                <w:lang w:val="en-US" w:eastAsia="zh-CN"/>
              </w:rPr>
              <w:t>且在白天进行，</w:t>
            </w:r>
            <w:r>
              <w:rPr>
                <w:rFonts w:hint="default"/>
                <w:color w:val="auto"/>
                <w:highlight w:val="none"/>
                <w:lang w:val="en-US" w:eastAsia="zh-CN"/>
              </w:rPr>
              <w:t>其影响是暂时的、局部的，且其影响会随着施工期的结束而消失</w:t>
            </w:r>
            <w:r>
              <w:rPr>
                <w:rFonts w:hint="eastAsia"/>
                <w:color w:val="auto"/>
                <w:highlight w:val="none"/>
                <w:lang w:val="en-US" w:eastAsia="zh-CN"/>
              </w:rPr>
              <w:t>，</w:t>
            </w:r>
            <w:r>
              <w:rPr>
                <w:rFonts w:hint="default"/>
                <w:color w:val="auto"/>
                <w:highlight w:val="none"/>
                <w:lang w:val="en-US" w:eastAsia="zh-CN"/>
              </w:rPr>
              <w:t>项目施工阶段的短暂环境影响</w:t>
            </w:r>
            <w:r>
              <w:rPr>
                <w:rFonts w:hint="eastAsia"/>
                <w:color w:val="auto"/>
                <w:highlight w:val="none"/>
                <w:lang w:val="en-US" w:eastAsia="zh-CN"/>
              </w:rPr>
              <w:t>基本</w:t>
            </w:r>
            <w:r>
              <w:rPr>
                <w:rFonts w:hint="default"/>
                <w:color w:val="auto"/>
                <w:highlight w:val="none"/>
                <w:lang w:val="en-US" w:eastAsia="zh-CN"/>
              </w:rPr>
              <w:t>不会</w:t>
            </w:r>
            <w:r>
              <w:rPr>
                <w:rFonts w:hint="eastAsia"/>
                <w:color w:val="auto"/>
                <w:highlight w:val="none"/>
                <w:lang w:val="en-US" w:eastAsia="zh-CN"/>
              </w:rPr>
              <w:t>对周边环境产生影响</w:t>
            </w:r>
            <w:r>
              <w:rPr>
                <w:rFonts w:hint="default"/>
                <w:color w:val="auto"/>
                <w:highlight w:val="none"/>
                <w:lang w:val="en-US" w:eastAsia="zh-CN"/>
              </w:rPr>
              <w:t>。</w:t>
            </w: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ind w:left="0" w:leftChars="0" w:firstLine="0" w:firstLineChars="0"/>
              <w:rPr>
                <w:rFonts w:hint="eastAsia"/>
                <w:color w:val="auto"/>
                <w:highlight w:val="none"/>
                <w:lang w:val="en-US" w:eastAsia="zh-CN"/>
              </w:rPr>
            </w:pP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4173"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61"/>
        <w:gridCol w:w="1331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0" w:hRule="atLeast"/>
          <w:jc w:val="center"/>
        </w:trPr>
        <w:tc>
          <w:tcPr>
            <w:tcW w:w="861" w:type="dxa"/>
            <w:tcBorders>
              <w:tl2br w:val="nil"/>
              <w:tr2bl w:val="nil"/>
            </w:tcBorders>
            <w:shd w:val="clear" w:color="auto" w:fill="FFFFFF"/>
            <w:noWrap w:val="0"/>
            <w:tcMar>
              <w:left w:w="28" w:type="dxa"/>
              <w:right w:w="28" w:type="dxa"/>
            </w:tcMar>
            <w:vAlign w:val="center"/>
          </w:tcPr>
          <w:p>
            <w:pPr>
              <w:pStyle w:val="32"/>
              <w:bidi w:val="0"/>
              <w:rPr>
                <w:rFonts w:hint="eastAsia"/>
                <w:color w:val="auto"/>
                <w:sz w:val="24"/>
                <w:szCs w:val="24"/>
                <w:highlight w:val="none"/>
              </w:rPr>
            </w:pPr>
            <w:r>
              <w:rPr>
                <w:rFonts w:hint="eastAsia"/>
                <w:color w:val="auto"/>
                <w:sz w:val="24"/>
                <w:szCs w:val="24"/>
                <w:highlight w:val="none"/>
              </w:rPr>
              <w:t>运营</w:t>
            </w:r>
          </w:p>
          <w:p>
            <w:pPr>
              <w:pStyle w:val="32"/>
              <w:bidi w:val="0"/>
              <w:rPr>
                <w:rFonts w:hint="eastAsia"/>
                <w:color w:val="auto"/>
                <w:sz w:val="24"/>
                <w:szCs w:val="24"/>
                <w:highlight w:val="none"/>
              </w:rPr>
            </w:pPr>
            <w:r>
              <w:rPr>
                <w:rFonts w:hint="eastAsia"/>
                <w:color w:val="auto"/>
                <w:sz w:val="24"/>
                <w:szCs w:val="24"/>
                <w:highlight w:val="none"/>
              </w:rPr>
              <w:t>期环</w:t>
            </w:r>
          </w:p>
          <w:p>
            <w:pPr>
              <w:pStyle w:val="32"/>
              <w:bidi w:val="0"/>
              <w:rPr>
                <w:rFonts w:hint="eastAsia"/>
                <w:color w:val="auto"/>
                <w:sz w:val="24"/>
                <w:szCs w:val="24"/>
                <w:highlight w:val="none"/>
              </w:rPr>
            </w:pPr>
            <w:r>
              <w:rPr>
                <w:rFonts w:hint="eastAsia"/>
                <w:color w:val="auto"/>
                <w:sz w:val="24"/>
                <w:szCs w:val="24"/>
                <w:highlight w:val="none"/>
              </w:rPr>
              <w:t>境影</w:t>
            </w:r>
          </w:p>
          <w:p>
            <w:pPr>
              <w:pStyle w:val="32"/>
              <w:bidi w:val="0"/>
              <w:rPr>
                <w:rFonts w:hint="eastAsia"/>
                <w:color w:val="auto"/>
                <w:sz w:val="24"/>
                <w:szCs w:val="24"/>
                <w:highlight w:val="none"/>
              </w:rPr>
            </w:pPr>
            <w:r>
              <w:rPr>
                <w:rFonts w:hint="eastAsia"/>
                <w:color w:val="auto"/>
                <w:sz w:val="24"/>
                <w:szCs w:val="24"/>
                <w:highlight w:val="none"/>
              </w:rPr>
              <w:t>响和</w:t>
            </w:r>
          </w:p>
          <w:p>
            <w:pPr>
              <w:pStyle w:val="32"/>
              <w:bidi w:val="0"/>
              <w:rPr>
                <w:rFonts w:hint="eastAsia"/>
                <w:color w:val="auto"/>
                <w:sz w:val="24"/>
                <w:szCs w:val="24"/>
                <w:highlight w:val="none"/>
              </w:rPr>
            </w:pPr>
            <w:r>
              <w:rPr>
                <w:rFonts w:hint="eastAsia"/>
                <w:color w:val="auto"/>
                <w:sz w:val="24"/>
                <w:szCs w:val="24"/>
                <w:highlight w:val="none"/>
              </w:rPr>
              <w:t>保护</w:t>
            </w:r>
          </w:p>
          <w:p>
            <w:pPr>
              <w:pStyle w:val="32"/>
              <w:bidi w:val="0"/>
              <w:rPr>
                <w:rFonts w:hint="eastAsia"/>
                <w:color w:val="auto"/>
                <w:sz w:val="24"/>
                <w:szCs w:val="24"/>
                <w:highlight w:val="none"/>
              </w:rPr>
            </w:pPr>
            <w:r>
              <w:rPr>
                <w:rFonts w:hint="eastAsia"/>
                <w:color w:val="auto"/>
                <w:sz w:val="24"/>
                <w:szCs w:val="24"/>
                <w:highlight w:val="none"/>
              </w:rPr>
              <w:t>措施</w:t>
            </w:r>
          </w:p>
        </w:tc>
        <w:tc>
          <w:tcPr>
            <w:tcW w:w="13312" w:type="dxa"/>
            <w:tcBorders>
              <w:tl2br w:val="nil"/>
              <w:tr2bl w:val="nil"/>
            </w:tcBorders>
            <w:shd w:val="clear" w:color="auto" w:fill="FFFFFF"/>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lang w:val="en-US" w:eastAsia="zh-CN"/>
              </w:rPr>
            </w:pPr>
            <w:r>
              <w:rPr>
                <w:rFonts w:hint="default"/>
                <w:b/>
                <w:bCs/>
                <w:color w:val="auto"/>
                <w:highlight w:val="none"/>
              </w:rPr>
              <w:t>1</w:t>
            </w:r>
            <w:r>
              <w:rPr>
                <w:rFonts w:hint="eastAsia"/>
                <w:b/>
                <w:bCs/>
                <w:color w:val="auto"/>
                <w:highlight w:val="none"/>
                <w:lang w:eastAsia="zh-CN"/>
              </w:rPr>
              <w:t>、</w:t>
            </w:r>
            <w:r>
              <w:rPr>
                <w:rFonts w:hint="eastAsia"/>
                <w:b/>
                <w:bCs/>
                <w:color w:val="auto"/>
                <w:highlight w:val="none"/>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right="0" w:firstLine="482" w:firstLineChars="200"/>
              <w:textAlignment w:val="auto"/>
              <w:rPr>
                <w:rFonts w:hint="default"/>
                <w:b/>
                <w:bCs/>
                <w:color w:val="auto"/>
                <w:highlight w:val="none"/>
              </w:rPr>
            </w:pPr>
            <w:r>
              <w:rPr>
                <w:rFonts w:hint="eastAsia"/>
                <w:b/>
                <w:bCs/>
                <w:color w:val="auto"/>
                <w:highlight w:val="none"/>
                <w:lang w:val="en-US" w:eastAsia="zh-CN"/>
              </w:rPr>
              <w:t>1.1</w:t>
            </w:r>
            <w:r>
              <w:rPr>
                <w:rFonts w:hint="eastAsia"/>
                <w:b/>
                <w:bCs/>
                <w:color w:val="auto"/>
                <w:highlight w:val="none"/>
                <w:lang w:eastAsia="zh-CN"/>
              </w:rPr>
              <w:t>废气源强及治理措施</w:t>
            </w:r>
          </w:p>
          <w:p>
            <w:pPr>
              <w:pStyle w:val="31"/>
              <w:bidi w:val="0"/>
              <w:rPr>
                <w:rFonts w:hint="eastAsia"/>
                <w:color w:val="auto"/>
                <w:sz w:val="21"/>
                <w:szCs w:val="21"/>
                <w:highlight w:val="none"/>
                <w:lang w:val="en-US" w:eastAsia="zh-CN"/>
              </w:rPr>
            </w:pPr>
            <w:r>
              <w:rPr>
                <w:rFonts w:hint="eastAsia"/>
                <w:color w:val="auto"/>
                <w:sz w:val="21"/>
                <w:szCs w:val="21"/>
                <w:highlight w:val="none"/>
                <w:lang w:eastAsia="zh-CN"/>
              </w:rPr>
              <w:t>表</w:t>
            </w:r>
            <w:r>
              <w:rPr>
                <w:rFonts w:hint="eastAsia"/>
                <w:color w:val="auto"/>
                <w:sz w:val="21"/>
                <w:szCs w:val="21"/>
                <w:highlight w:val="none"/>
                <w:lang w:val="en-US" w:eastAsia="zh-CN"/>
              </w:rPr>
              <w:t>27  废气源强、治理措施一览表</w:t>
            </w:r>
          </w:p>
          <w:tbl>
            <w:tblPr>
              <w:tblStyle w:val="24"/>
              <w:tblW w:w="130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9"/>
              <w:gridCol w:w="823"/>
              <w:gridCol w:w="823"/>
              <w:gridCol w:w="738"/>
              <w:gridCol w:w="739"/>
              <w:gridCol w:w="673"/>
              <w:gridCol w:w="895"/>
              <w:gridCol w:w="716"/>
              <w:gridCol w:w="2206"/>
              <w:gridCol w:w="654"/>
              <w:gridCol w:w="781"/>
              <w:gridCol w:w="716"/>
              <w:gridCol w:w="781"/>
              <w:gridCol w:w="717"/>
              <w:gridCol w:w="7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93" w:hRule="atLeast"/>
                <w:jc w:val="center"/>
              </w:trPr>
              <w:tc>
                <w:tcPr>
                  <w:tcW w:w="9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ascii="Times New Roman" w:hAnsi="Times New Roman" w:eastAsia="宋体" w:cs="Times New Roman"/>
                      <w:bCs/>
                      <w:caps w:val="0"/>
                      <w:color w:val="auto"/>
                      <w:spacing w:val="0"/>
                      <w:position w:val="0"/>
                      <w:sz w:val="21"/>
                      <w:szCs w:val="21"/>
                      <w:highlight w:val="none"/>
                      <w:lang w:eastAsia="zh-CN"/>
                    </w:rPr>
                    <w:t>产排污环节</w:t>
                  </w:r>
                </w:p>
              </w:tc>
              <w:tc>
                <w:tcPr>
                  <w:tcW w:w="82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污染物</w:t>
                  </w:r>
                  <w:r>
                    <w:rPr>
                      <w:rFonts w:hint="eastAsia" w:ascii="Times New Roman" w:hAnsi="Times New Roman" w:eastAsia="宋体" w:cs="Times New Roman"/>
                      <w:bCs/>
                      <w:caps w:val="0"/>
                      <w:color w:val="auto"/>
                      <w:spacing w:val="0"/>
                      <w:position w:val="0"/>
                      <w:sz w:val="21"/>
                      <w:szCs w:val="21"/>
                      <w:highlight w:val="none"/>
                      <w:lang w:eastAsia="zh-CN"/>
                    </w:rPr>
                    <w:t>种类</w:t>
                  </w:r>
                </w:p>
              </w:tc>
              <w:tc>
                <w:tcPr>
                  <w:tcW w:w="23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eastAsia="zh-CN"/>
                    </w:rPr>
                  </w:pPr>
                  <w:r>
                    <w:rPr>
                      <w:rFonts w:hint="default" w:ascii="Times New Roman" w:hAnsi="Times New Roman" w:cs="Times New Roman"/>
                      <w:bCs/>
                      <w:caps w:val="0"/>
                      <w:color w:val="auto"/>
                      <w:spacing w:val="0"/>
                      <w:position w:val="0"/>
                      <w:sz w:val="21"/>
                      <w:szCs w:val="21"/>
                      <w:highlight w:val="none"/>
                      <w:lang w:eastAsia="zh-CN"/>
                    </w:rPr>
                    <w:t>产生情况</w:t>
                  </w:r>
                </w:p>
              </w:tc>
              <w:tc>
                <w:tcPr>
                  <w:tcW w:w="6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排放形式</w:t>
                  </w:r>
                </w:p>
              </w:tc>
              <w:tc>
                <w:tcPr>
                  <w:tcW w:w="5252"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治理措施</w:t>
                  </w:r>
                </w:p>
              </w:tc>
              <w:tc>
                <w:tcPr>
                  <w:tcW w:w="301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w:t>
                  </w:r>
                  <w:r>
                    <w:rPr>
                      <w:rFonts w:hint="default" w:ascii="Times New Roman" w:hAnsi="Times New Roman" w:cs="Times New Roman"/>
                      <w:bCs/>
                      <w:caps w:val="0"/>
                      <w:color w:val="auto"/>
                      <w:spacing w:val="0"/>
                      <w:position w:val="0"/>
                      <w:sz w:val="21"/>
                      <w:szCs w:val="21"/>
                      <w:highlight w:val="none"/>
                      <w:lang w:eastAsia="zh-CN"/>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1291" w:hRule="atLeast"/>
                <w:jc w:val="center"/>
              </w:trPr>
              <w:tc>
                <w:tcPr>
                  <w:tcW w:w="9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2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核算方法</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default" w:ascii="Times New Roman" w:hAnsi="Times New Roman" w:eastAsia="宋体" w:cs="Times New Roman"/>
                      <w:bCs/>
                      <w:caps w:val="0"/>
                      <w:color w:val="auto"/>
                      <w:spacing w:val="0"/>
                      <w:position w:val="0"/>
                      <w:sz w:val="21"/>
                      <w:szCs w:val="21"/>
                      <w:highlight w:val="none"/>
                    </w:rPr>
                    <w:t>产生量</w:t>
                  </w:r>
                  <w:r>
                    <w:rPr>
                      <w:rFonts w:hint="eastAsia"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cs="Times New Roman"/>
                      <w:bCs/>
                      <w:caps w:val="0"/>
                      <w:color w:val="auto"/>
                      <w:spacing w:val="0"/>
                      <w:position w:val="0"/>
                      <w:sz w:val="21"/>
                      <w:szCs w:val="21"/>
                      <w:highlight w:val="none"/>
                      <w:lang w:val="en-US" w:eastAsia="zh-CN"/>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产生浓度</w:t>
                  </w:r>
                  <w:r>
                    <w:rPr>
                      <w:rFonts w:hint="eastAsia" w:ascii="Times New Roman" w:hAnsi="Times New Roman" w:eastAsia="宋体" w:cs="Times New Roman"/>
                      <w:bCs/>
                      <w:caps w:val="0"/>
                      <w:color w:val="auto"/>
                      <w:spacing w:val="0"/>
                      <w:position w:val="0"/>
                      <w:sz w:val="21"/>
                      <w:szCs w:val="21"/>
                      <w:highlight w:val="none"/>
                      <w:lang w:val="en-US" w:eastAsia="zh-CN"/>
                    </w:rPr>
                    <w:t>(mg/m</w:t>
                  </w:r>
                  <w:r>
                    <w:rPr>
                      <w:rFonts w:hint="eastAsia" w:ascii="Times New Roman" w:hAnsi="Times New Roman" w:eastAsia="宋体" w:cs="Times New Roman"/>
                      <w:bCs/>
                      <w: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处理能力(</w:t>
                  </w:r>
                  <w:r>
                    <w:rPr>
                      <w:rFonts w:hint="default" w:ascii="Times New Roman" w:hAnsi="Times New Roman" w:eastAsia="宋体" w:cs="Times New Roman"/>
                      <w:caps w:val="0"/>
                      <w:color w:val="auto"/>
                      <w:spacing w:val="0"/>
                      <w:position w:val="0"/>
                      <w:sz w:val="21"/>
                      <w:szCs w:val="21"/>
                      <w:highlight w:val="none"/>
                    </w:rPr>
                    <w:t>m</w:t>
                  </w:r>
                  <w:r>
                    <w:rPr>
                      <w:rFonts w:hint="default" w:ascii="Times New Roman" w:hAnsi="Times New Roman" w:eastAsia="宋体" w:cs="Times New Roman"/>
                      <w:caps w:val="0"/>
                      <w:color w:val="auto"/>
                      <w:spacing w:val="0"/>
                      <w:position w:val="0"/>
                      <w:sz w:val="21"/>
                      <w:szCs w:val="21"/>
                      <w:highlight w:val="none"/>
                      <w:vertAlign w:val="superscript"/>
                    </w:rPr>
                    <w:t>3</w:t>
                  </w:r>
                  <w:r>
                    <w:rPr>
                      <w:rFonts w:hint="default" w:ascii="Times New Roman" w:hAnsi="Times New Roman" w:eastAsia="宋体" w:cs="Times New Roman"/>
                      <w:caps w:val="0"/>
                      <w:color w:val="auto"/>
                      <w:spacing w:val="0"/>
                      <w:position w:val="0"/>
                      <w:sz w:val="21"/>
                      <w:szCs w:val="21"/>
                      <w:highlight w:val="none"/>
                    </w:rPr>
                    <w:t>/h</w:t>
                  </w: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ascii="Times New Roman" w:hAnsi="Times New Roman" w:eastAsia="宋体" w:cs="Times New Roman"/>
                      <w:bCs/>
                      <w:caps w:val="0"/>
                      <w:color w:val="auto"/>
                      <w:spacing w:val="0"/>
                      <w:position w:val="0"/>
                      <w:sz w:val="21"/>
                      <w:szCs w:val="21"/>
                      <w:highlight w:val="none"/>
                      <w:lang w:eastAsia="zh-CN"/>
                    </w:rPr>
                    <w:t>收集效率</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2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工艺</w:t>
                  </w:r>
                </w:p>
              </w:tc>
              <w:tc>
                <w:tcPr>
                  <w:tcW w:w="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cs="Times New Roman"/>
                      <w:bCs/>
                      <w:caps w:val="0"/>
                      <w:color w:val="auto"/>
                      <w:spacing w:val="0"/>
                      <w:position w:val="0"/>
                      <w:sz w:val="21"/>
                      <w:szCs w:val="21"/>
                      <w:highlight w:val="none"/>
                      <w:lang w:eastAsia="zh-CN"/>
                    </w:rPr>
                  </w:pPr>
                  <w:r>
                    <w:rPr>
                      <w:rFonts w:hint="eastAsia" w:ascii="Times New Roman" w:hAnsi="Times New Roman" w:cs="Times New Roman"/>
                      <w:bCs/>
                      <w:caps w:val="0"/>
                      <w:color w:val="auto"/>
                      <w:spacing w:val="0"/>
                      <w:position w:val="0"/>
                      <w:sz w:val="21"/>
                      <w:szCs w:val="21"/>
                      <w:highlight w:val="none"/>
                      <w:lang w:eastAsia="zh-CN"/>
                    </w:rPr>
                    <w:t>去除率</w:t>
                  </w:r>
                  <w:r>
                    <w:rPr>
                      <w:rFonts w:hint="eastAsia" w:ascii="Times New Roman" w:hAnsi="Times New Roman"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是否为可行性技术</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排放浓度</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eastAsia="宋体" w:cs="Times New Roman"/>
                      <w:bCs/>
                      <w:caps w:val="0"/>
                      <w:color w:val="auto"/>
                      <w:spacing w:val="0"/>
                      <w:position w:val="0"/>
                      <w:sz w:val="21"/>
                      <w:szCs w:val="21"/>
                      <w:highlight w:val="none"/>
                    </w:rPr>
                    <w:t>mg/m</w:t>
                  </w:r>
                  <w:r>
                    <w:rPr>
                      <w:rFonts w:hint="default" w:ascii="Times New Roman" w:hAnsi="Times New Roman" w:eastAsia="宋体" w:cs="Times New Roman"/>
                      <w:bCs/>
                      <w:caps w:val="0"/>
                      <w:color w:val="auto"/>
                      <w:spacing w:val="0"/>
                      <w:position w:val="0"/>
                      <w:sz w:val="21"/>
                      <w:szCs w:val="21"/>
                      <w:highlight w:val="none"/>
                      <w:vertAlign w:val="superscript"/>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排放速率</w:t>
                  </w:r>
                  <w:r>
                    <w:rPr>
                      <w:rFonts w:hint="eastAsia" w:ascii="Times New Roman" w:hAnsi="Times New Roman" w:eastAsia="宋体" w:cs="Times New Roman"/>
                      <w:bCs/>
                      <w:caps w:val="0"/>
                      <w:color w:val="auto"/>
                      <w:spacing w:val="0"/>
                      <w:position w:val="0"/>
                      <w:sz w:val="21"/>
                      <w:szCs w:val="21"/>
                      <w:highlight w:val="none"/>
                      <w:lang w:val="en-US" w:eastAsia="zh-CN"/>
                    </w:rPr>
                    <w:t>(kg/h)</w:t>
                  </w:r>
                </w:p>
              </w:tc>
              <w:tc>
                <w:tcPr>
                  <w:tcW w:w="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rPr>
                  </w:pPr>
                  <w:r>
                    <w:rPr>
                      <w:rFonts w:hint="eastAsia" w:ascii="Times New Roman" w:hAnsi="Times New Roman" w:eastAsia="宋体" w:cs="Times New Roman"/>
                      <w:bCs/>
                      <w:caps w:val="0"/>
                      <w:color w:val="auto"/>
                      <w:spacing w:val="0"/>
                      <w:position w:val="0"/>
                      <w:sz w:val="21"/>
                      <w:szCs w:val="21"/>
                      <w:highlight w:val="none"/>
                      <w:lang w:eastAsia="zh-CN"/>
                    </w:rPr>
                    <w:t>有组织</w:t>
                  </w:r>
                  <w:r>
                    <w:rPr>
                      <w:rFonts w:hint="default" w:ascii="Times New Roman" w:hAnsi="Times New Roman" w:eastAsia="宋体" w:cs="Times New Roman"/>
                      <w:bCs/>
                      <w:caps w:val="0"/>
                      <w:color w:val="auto"/>
                      <w:spacing w:val="0"/>
                      <w:position w:val="0"/>
                      <w:sz w:val="21"/>
                      <w:szCs w:val="21"/>
                      <w:highlight w:val="none"/>
                    </w:rPr>
                    <w:t>排放量</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ascii="Times New Roman" w:hAnsi="Times New Roman" w:cs="Times New Roman"/>
                      <w:caps w:val="0"/>
                      <w:color w:val="auto"/>
                      <w:spacing w:val="0"/>
                      <w:position w:val="0"/>
                      <w:sz w:val="21"/>
                      <w:szCs w:val="21"/>
                      <w:highlight w:val="none"/>
                      <w:lang w:val="en-US" w:eastAsia="zh-CN"/>
                    </w:rPr>
                    <w:t>)</w:t>
                  </w:r>
                </w:p>
              </w:tc>
              <w:tc>
                <w:tcPr>
                  <w:tcW w:w="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无组织排放量</w:t>
                  </w:r>
                  <w:r>
                    <w:rPr>
                      <w:rFonts w:hint="eastAsia" w:ascii="Times New Roman" w:hAnsi="Times New Roman" w:eastAsia="宋体" w:cs="Times New Roman"/>
                      <w:bCs/>
                      <w:caps w:val="0"/>
                      <w:color w:val="auto"/>
                      <w:spacing w:val="0"/>
                      <w:position w:val="0"/>
                      <w:sz w:val="21"/>
                      <w:szCs w:val="21"/>
                      <w:highlight w:val="none"/>
                      <w:lang w:val="en-US" w:eastAsia="zh-CN"/>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印刷、印刷烘干、覆膜过程</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物料衡算法</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0.0487</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0.6</w:t>
                  </w:r>
                </w:p>
              </w:tc>
              <w:tc>
                <w:tcPr>
                  <w:tcW w:w="6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有组织</w:t>
                  </w:r>
                </w:p>
              </w:tc>
              <w:tc>
                <w:tcPr>
                  <w:tcW w:w="8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15000</w:t>
                  </w:r>
                </w:p>
              </w:tc>
              <w:tc>
                <w:tcPr>
                  <w:tcW w:w="7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22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烘干和烧结还原过程</w:t>
                  </w:r>
                  <w:r>
                    <w:rPr>
                      <w:rFonts w:hint="eastAsia" w:cs="Times New Roman"/>
                      <w:color w:val="auto"/>
                      <w:kern w:val="2"/>
                      <w:sz w:val="21"/>
                      <w:szCs w:val="21"/>
                      <w:highlight w:val="none"/>
                      <w:lang w:val="en-US" w:eastAsia="zh-CN" w:bidi="ar-SA"/>
                    </w:rPr>
                    <w:t>设备密闭</w:t>
                  </w:r>
                  <w:r>
                    <w:rPr>
                      <w:rFonts w:hint="default" w:ascii="Times New Roman" w:hAnsi="Times New Roman" w:eastAsia="宋体" w:cs="Times New Roman"/>
                      <w:color w:val="auto"/>
                      <w:kern w:val="2"/>
                      <w:sz w:val="21"/>
                      <w:szCs w:val="21"/>
                      <w:highlight w:val="none"/>
                      <w:lang w:val="en-US" w:eastAsia="zh-CN" w:bidi="ar-SA"/>
                    </w:rPr>
                    <w:t>，在各烘干</w:t>
                  </w:r>
                  <w:r>
                    <w:rPr>
                      <w:rFonts w:hint="eastAsia" w:cs="Times New Roman"/>
                      <w:color w:val="auto"/>
                      <w:kern w:val="2"/>
                      <w:sz w:val="21"/>
                      <w:szCs w:val="21"/>
                      <w:highlight w:val="none"/>
                      <w:lang w:val="en-US" w:eastAsia="zh-CN" w:bidi="ar-SA"/>
                    </w:rPr>
                    <w:t>炉</w:t>
                  </w:r>
                  <w:r>
                    <w:rPr>
                      <w:rFonts w:hint="default" w:ascii="Times New Roman" w:hAnsi="Times New Roman" w:eastAsia="宋体" w:cs="Times New Roman"/>
                      <w:color w:val="auto"/>
                      <w:kern w:val="2"/>
                      <w:sz w:val="21"/>
                      <w:szCs w:val="21"/>
                      <w:highlight w:val="none"/>
                      <w:lang w:val="en-US" w:eastAsia="zh-CN" w:bidi="ar-SA"/>
                    </w:rPr>
                    <w:t>和烧熔炉的出口上方设置集气罩</w:t>
                  </w:r>
                  <w:r>
                    <w:rPr>
                      <w:rFonts w:hint="eastAsia" w:cs="Times New Roman"/>
                      <w:color w:val="auto"/>
                      <w:kern w:val="2"/>
                      <w:sz w:val="21"/>
                      <w:szCs w:val="21"/>
                      <w:highlight w:val="none"/>
                      <w:lang w:val="en-US" w:eastAsia="zh-CN" w:bidi="ar-SA"/>
                    </w:rPr>
                    <w:t>；覆膜印刷机、覆膜烘干机封闭，在设备上方设置集气管道；自动覆膜机上方设置集气罩，采用风量为15000m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/h的</w:t>
                  </w:r>
                  <w:r>
                    <w:rPr>
                      <w:rFonts w:hint="default" w:ascii="Times New Roman" w:hAnsi="Times New Roman" w:eastAsia="宋体" w:cs="Times New Roman"/>
                      <w:color w:val="auto"/>
                      <w:kern w:val="2"/>
                      <w:sz w:val="21"/>
                      <w:szCs w:val="21"/>
                      <w:highlight w:val="none"/>
                      <w:lang w:val="en-US" w:eastAsia="zh-CN" w:bidi="ar-SA"/>
                    </w:rPr>
                    <w:t>风机将</w:t>
                  </w:r>
                  <w:r>
                    <w:rPr>
                      <w:rFonts w:hint="eastAsia" w:cs="Times New Roman"/>
                      <w:color w:val="auto"/>
                      <w:kern w:val="2"/>
                      <w:sz w:val="21"/>
                      <w:szCs w:val="21"/>
                      <w:highlight w:val="none"/>
                      <w:lang w:val="en-US" w:eastAsia="zh-CN" w:bidi="ar-SA"/>
                    </w:rPr>
                    <w:t>印刷、印刷烘干、覆膜、烘干及烧结还原过程产生的废气</w:t>
                  </w:r>
                  <w:r>
                    <w:rPr>
                      <w:rFonts w:hint="default" w:ascii="Times New Roman" w:hAnsi="Times New Roman" w:eastAsia="宋体" w:cs="Times New Roman"/>
                      <w:color w:val="auto"/>
                      <w:kern w:val="2"/>
                      <w:sz w:val="21"/>
                      <w:szCs w:val="21"/>
                      <w:highlight w:val="none"/>
                      <w:lang w:val="en-US" w:eastAsia="zh-CN" w:bidi="ar-SA"/>
                    </w:rPr>
                    <w:t>引入1套</w:t>
                  </w:r>
                  <w:r>
                    <w:rPr>
                      <w:rFonts w:hint="eastAsia" w:cs="Times New Roman"/>
                      <w:color w:val="auto"/>
                      <w:kern w:val="2"/>
                      <w:sz w:val="21"/>
                      <w:szCs w:val="21"/>
                      <w:highlight w:val="none"/>
                      <w:lang w:val="en-US" w:eastAsia="zh-CN" w:bidi="ar-SA"/>
                    </w:rPr>
                    <w:t>两级</w:t>
                  </w:r>
                  <w:r>
                    <w:rPr>
                      <w:rFonts w:hint="default" w:ascii="Times New Roman" w:hAnsi="Times New Roman" w:eastAsia="宋体" w:cs="Times New Roman"/>
                      <w:color w:val="auto"/>
                      <w:kern w:val="2"/>
                      <w:sz w:val="21"/>
                      <w:szCs w:val="21"/>
                      <w:highlight w:val="none"/>
                      <w:lang w:val="en-US" w:eastAsia="zh-CN" w:bidi="ar-SA"/>
                    </w:rPr>
                    <w:t>活性炭吸附装置</w:t>
                  </w:r>
                  <w:r>
                    <w:rPr>
                      <w:rFonts w:hint="eastAsia" w:cs="Times New Roman"/>
                      <w:color w:val="auto"/>
                      <w:kern w:val="2"/>
                      <w:sz w:val="21"/>
                      <w:szCs w:val="21"/>
                      <w:highlight w:val="none"/>
                      <w:lang w:val="en-US" w:eastAsia="zh-CN" w:bidi="ar-SA"/>
                    </w:rPr>
                    <w:t>（TA002）</w:t>
                  </w:r>
                  <w:r>
                    <w:rPr>
                      <w:rFonts w:hint="default" w:ascii="Times New Roman" w:hAnsi="Times New Roman" w:eastAsia="宋体" w:cs="Times New Roman"/>
                      <w:color w:val="auto"/>
                      <w:kern w:val="2"/>
                      <w:sz w:val="21"/>
                      <w:szCs w:val="21"/>
                      <w:highlight w:val="none"/>
                      <w:lang w:val="en-US" w:eastAsia="zh-CN" w:bidi="ar-SA"/>
                    </w:rPr>
                    <w:t>进行净化处理</w:t>
                  </w:r>
                  <w:r>
                    <w:rPr>
                      <w:rFonts w:hint="eastAsia" w:ascii="Times New Roman" w:hAnsi="Times New Roman" w:cs="Times New Roman"/>
                      <w:color w:val="auto"/>
                      <w:kern w:val="2"/>
                      <w:sz w:val="21"/>
                      <w:szCs w:val="21"/>
                      <w:highlight w:val="none"/>
                      <w:lang w:val="en-US" w:eastAsia="zh-CN" w:bidi="ar-SA"/>
                    </w:rPr>
                    <w:t>，处理后与经TA001处理的镀膜废气一起通过1根30m高排气筒排放至大气中</w:t>
                  </w:r>
                </w:p>
              </w:tc>
              <w:tc>
                <w:tcPr>
                  <w:tcW w:w="65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90%</w:t>
                  </w:r>
                </w:p>
              </w:tc>
              <w:tc>
                <w:tcPr>
                  <w:tcW w:w="7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w:t>
                  </w:r>
                </w:p>
              </w:tc>
              <w:tc>
                <w:tcPr>
                  <w:tcW w:w="7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0.1</w:t>
                  </w:r>
                </w:p>
              </w:tc>
              <w:tc>
                <w:tcPr>
                  <w:tcW w:w="7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0.0011</w:t>
                  </w:r>
                </w:p>
              </w:tc>
              <w:tc>
                <w:tcPr>
                  <w:tcW w:w="7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0.0053</w:t>
                  </w:r>
                </w:p>
              </w:tc>
              <w:tc>
                <w:tcPr>
                  <w:tcW w:w="7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0.0058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印刷、印刷烘干、覆膜过程和烘干及烧结还原过程</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0.0584</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0.73</w:t>
                  </w:r>
                </w:p>
              </w:tc>
              <w:tc>
                <w:tcPr>
                  <w:tcW w:w="6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p>
              </w:tc>
              <w:tc>
                <w:tcPr>
                  <w:tcW w:w="8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22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65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c>
                <w:tcPr>
                  <w:tcW w:w="7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导电浆料混合分散</w:t>
                  </w:r>
                  <w:r>
                    <w:rPr>
                      <w:rFonts w:hint="eastAsia"/>
                      <w:color w:val="auto"/>
                      <w:sz w:val="21"/>
                      <w:szCs w:val="21"/>
                      <w:highlight w:val="none"/>
                      <w:lang w:val="en-US" w:eastAsia="zh-CN"/>
                    </w:rPr>
                    <w:t>过程</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物料衡算法</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0.0008</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2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车间内无组织排放</w:t>
                  </w:r>
                </w:p>
              </w:tc>
              <w:tc>
                <w:tcPr>
                  <w:tcW w:w="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0.0013</w:t>
                  </w:r>
                </w:p>
              </w:tc>
              <w:tc>
                <w:tcPr>
                  <w:tcW w:w="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1"/>
                      <w:highlight w:val="none"/>
                      <w:lang w:val="en-US" w:eastAsia="zh-CN"/>
                    </w:rPr>
                  </w:pPr>
                  <w:r>
                    <w:rPr>
                      <w:rFonts w:hint="eastAsia"/>
                      <w:color w:val="auto"/>
                      <w:sz w:val="21"/>
                      <w:highlight w:val="none"/>
                      <w:lang w:val="en-US" w:eastAsia="zh-CN"/>
                    </w:rPr>
                    <w:t>0.0008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9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PVC膜封边过程</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产污系数法</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0.003</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2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车间内无组织排放</w:t>
                  </w:r>
                </w:p>
              </w:tc>
              <w:tc>
                <w:tcPr>
                  <w:tcW w:w="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0.0006</w:t>
                  </w:r>
                </w:p>
              </w:tc>
              <w:tc>
                <w:tcPr>
                  <w:tcW w:w="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highlight w:val="none"/>
                      <w:lang w:val="en-US" w:eastAsia="zh-CN"/>
                    </w:rPr>
                  </w:pPr>
                  <w:r>
                    <w:rPr>
                      <w:rFonts w:hint="eastAsia"/>
                      <w:color w:val="auto"/>
                      <w:sz w:val="21"/>
                      <w:highlight w:val="none"/>
                      <w:lang w:val="en-US" w:eastAsia="zh-CN"/>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9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氯化氢</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产污系数法</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0.000023</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22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车间内无组织排放</w:t>
                  </w:r>
                </w:p>
              </w:tc>
              <w:tc>
                <w:tcPr>
                  <w:tcW w:w="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color w:val="auto"/>
                      <w:sz w:val="21"/>
                      <w:highlight w:val="none"/>
                      <w:lang w:val="en-US" w:eastAsia="zh-CN"/>
                    </w:rPr>
                    <w:t>0.000005</w:t>
                  </w:r>
                </w:p>
              </w:tc>
              <w:tc>
                <w:tcPr>
                  <w:tcW w:w="7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79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sz w:val="21"/>
                      <w:highlight w:val="none"/>
                      <w:lang w:val="en-US" w:eastAsia="zh-CN"/>
                    </w:rPr>
                  </w:pPr>
                  <w:r>
                    <w:rPr>
                      <w:rFonts w:hint="eastAsia"/>
                      <w:color w:val="auto"/>
                      <w:sz w:val="21"/>
                      <w:highlight w:val="none"/>
                      <w:lang w:val="en-US" w:eastAsia="zh-CN"/>
                    </w:rPr>
                    <w:t>0.000023</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ind w:left="0" w:leftChars="0" w:firstLine="0" w:firstLineChars="0"/>
              <w:rPr>
                <w:rFonts w:hint="eastAsia"/>
                <w:color w:val="auto"/>
                <w:highlight w:val="none"/>
              </w:rPr>
            </w:pPr>
          </w:p>
        </w:tc>
      </w:tr>
    </w:tbl>
    <w:p>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934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8516"/>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2398" w:hRule="atLeast"/>
          <w:jc w:val="center"/>
        </w:trPr>
        <w:tc>
          <w:tcPr>
            <w:tcW w:w="831" w:type="dxa"/>
            <w:tcBorders>
              <w:tl2br w:val="nil"/>
              <w:tr2bl w:val="nil"/>
            </w:tcBorders>
            <w:shd w:val="clear" w:color="auto" w:fill="FFFFFF"/>
            <w:noWrap w:val="0"/>
            <w:tcMar>
              <w:left w:w="28" w:type="dxa"/>
              <w:right w:w="28" w:type="dxa"/>
            </w:tcMar>
            <w:vAlign w:val="center"/>
          </w:tcPr>
          <w:p>
            <w:pPr>
              <w:pStyle w:val="32"/>
              <w:bidi w:val="0"/>
              <w:ind w:firstLine="0" w:firstLineChars="0"/>
              <w:rPr>
                <w:rFonts w:hint="eastAsia"/>
                <w:color w:val="auto"/>
                <w:highlight w:val="none"/>
              </w:rPr>
            </w:pPr>
          </w:p>
        </w:tc>
        <w:tc>
          <w:tcPr>
            <w:tcW w:w="8516" w:type="dxa"/>
            <w:tcBorders>
              <w:tl2br w:val="nil"/>
              <w:tr2bl w:val="nil"/>
            </w:tcBorders>
            <w:shd w:val="clear" w:color="auto" w:fill="FFFFFF"/>
            <w:noWrap w:val="0"/>
            <w:vAlign w:val="top"/>
          </w:tcPr>
          <w:p>
            <w:pPr>
              <w:bidi w:val="0"/>
              <w:rPr>
                <w:rFonts w:hint="default" w:eastAsia="宋体"/>
                <w:color w:val="auto"/>
                <w:highlight w:val="none"/>
                <w:lang w:val="en-US" w:eastAsia="zh-CN"/>
              </w:rPr>
            </w:pPr>
            <w:r>
              <w:rPr>
                <w:rFonts w:hint="eastAsia"/>
                <w:color w:val="auto"/>
                <w:highlight w:val="none"/>
                <w:lang w:val="en-US" w:eastAsia="zh-CN"/>
              </w:rPr>
              <w:t>项目排放口基本情况见下表。</w:t>
            </w:r>
          </w:p>
          <w:p>
            <w:pPr>
              <w:pStyle w:val="31"/>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28  项目</w:t>
            </w:r>
            <w:r>
              <w:rPr>
                <w:rFonts w:hint="default"/>
                <w:color w:val="auto"/>
                <w:sz w:val="21"/>
                <w:szCs w:val="21"/>
                <w:highlight w:val="none"/>
                <w:lang w:eastAsia="zh-CN"/>
              </w:rPr>
              <w:t>排放口基本情况一</w:t>
            </w:r>
            <w:r>
              <w:rPr>
                <w:rFonts w:hint="default"/>
                <w:color w:val="auto"/>
                <w:sz w:val="21"/>
                <w:szCs w:val="21"/>
                <w:highlight w:val="none"/>
              </w:rPr>
              <w:t>览表</w:t>
            </w:r>
          </w:p>
          <w:tbl>
            <w:tblPr>
              <w:tblStyle w:val="24"/>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2"/>
              <w:gridCol w:w="647"/>
              <w:gridCol w:w="706"/>
              <w:gridCol w:w="706"/>
              <w:gridCol w:w="815"/>
              <w:gridCol w:w="1178"/>
              <w:gridCol w:w="1118"/>
              <w:gridCol w:w="11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46" w:hRule="atLeast"/>
                <w:jc w:val="center"/>
              </w:trPr>
              <w:tc>
                <w:tcPr>
                  <w:tcW w:w="11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eastAsia="zh-CN"/>
                    </w:rPr>
                    <w:t>排</w:t>
                  </w:r>
                  <w:r>
                    <w:rPr>
                      <w:rFonts w:hint="eastAsia" w:ascii="Times New Roman" w:hAnsi="Times New Roman" w:eastAsia="宋体" w:cs="Times New Roman"/>
                      <w:bCs/>
                      <w:caps w:val="0"/>
                      <w:color w:val="auto"/>
                      <w:spacing w:val="0"/>
                      <w:position w:val="0"/>
                      <w:sz w:val="21"/>
                      <w:szCs w:val="21"/>
                      <w:highlight w:val="none"/>
                      <w:lang w:val="en-US" w:eastAsia="zh-CN"/>
                    </w:rPr>
                    <w:t>放口名称</w:t>
                  </w:r>
                </w:p>
              </w:tc>
              <w:tc>
                <w:tcPr>
                  <w:tcW w:w="39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高度</w:t>
                  </w:r>
                </w:p>
              </w:tc>
              <w:tc>
                <w:tcPr>
                  <w:tcW w:w="4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内径</w:t>
                  </w:r>
                </w:p>
              </w:tc>
              <w:tc>
                <w:tcPr>
                  <w:tcW w:w="4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温度</w:t>
                  </w:r>
                </w:p>
              </w:tc>
              <w:tc>
                <w:tcPr>
                  <w:tcW w:w="4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编号</w:t>
                  </w:r>
                </w:p>
              </w:tc>
              <w:tc>
                <w:tcPr>
                  <w:tcW w:w="7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类型</w:t>
                  </w:r>
                </w:p>
              </w:tc>
              <w:tc>
                <w:tcPr>
                  <w:tcW w:w="13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lang w:eastAsia="zh-CN"/>
                    </w:rPr>
                    <w:t>地理坐标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11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9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东经</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北纬</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1197"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电发热元件生产废气排放口</w:t>
                  </w: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30m</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0.65</w:t>
                  </w:r>
                  <w:r>
                    <w:rPr>
                      <w:rFonts w:hint="eastAsia" w:cs="Times New Roman"/>
                      <w:bCs/>
                      <w:caps w:val="0"/>
                      <w:color w:val="auto"/>
                      <w:spacing w:val="0"/>
                      <w:position w:val="0"/>
                      <w:sz w:val="21"/>
                      <w:szCs w:val="21"/>
                      <w:highlight w:val="none"/>
                      <w:lang w:val="en-US" w:eastAsia="zh-CN"/>
                    </w:rPr>
                    <w:t>m</w:t>
                  </w:r>
                </w:p>
              </w:tc>
              <w:tc>
                <w:tcPr>
                  <w:tcW w:w="4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20℃</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DA001</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w:t>
                  </w:r>
                  <w:r>
                    <w:rPr>
                      <w:rFonts w:hint="eastAsia" w:ascii="Times New Roman" w:hAnsi="Times New Roman" w:cs="Times New Roman"/>
                      <w:bCs/>
                      <w:caps w:val="0"/>
                      <w:color w:val="auto"/>
                      <w:spacing w:val="0"/>
                      <w:position w:val="0"/>
                      <w:sz w:val="21"/>
                      <w:szCs w:val="21"/>
                      <w:highlight w:val="none"/>
                      <w:lang w:val="en-US" w:eastAsia="zh-CN"/>
                    </w:rPr>
                    <w:t>8.147329</w:t>
                  </w:r>
                  <w:r>
                    <w:rPr>
                      <w:rFonts w:hint="default" w:ascii="Times New Roman" w:hAnsi="Times New Roman" w:eastAsia="宋体" w:cs="Times New Roman"/>
                      <w:bCs/>
                      <w:caps w:val="0"/>
                      <w:color w:val="auto"/>
                      <w:spacing w:val="0"/>
                      <w:position w:val="0"/>
                      <w:sz w:val="21"/>
                      <w:szCs w:val="21"/>
                      <w:highlight w:val="none"/>
                      <w:lang w:val="en-US" w:eastAsia="zh-CN"/>
                    </w:rPr>
                    <w:t>°</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39.</w:t>
                  </w:r>
                  <w:r>
                    <w:rPr>
                      <w:rFonts w:hint="eastAsia" w:ascii="Times New Roman" w:hAnsi="Times New Roman" w:cs="Times New Roman"/>
                      <w:bCs/>
                      <w:caps w:val="0"/>
                      <w:color w:val="auto"/>
                      <w:spacing w:val="0"/>
                      <w:position w:val="0"/>
                      <w:sz w:val="21"/>
                      <w:szCs w:val="21"/>
                      <w:highlight w:val="none"/>
                      <w:lang w:val="en-US" w:eastAsia="zh-CN"/>
                    </w:rPr>
                    <w:t>705663</w:t>
                  </w:r>
                  <w:r>
                    <w:rPr>
                      <w:rFonts w:hint="default" w:ascii="Times New Roman" w:hAnsi="Times New Roman" w:eastAsia="宋体" w:cs="Times New Roman"/>
                      <w:bCs/>
                      <w:caps w:val="0"/>
                      <w:color w:val="auto"/>
                      <w:spacing w:val="0"/>
                      <w:position w:val="0"/>
                      <w:sz w:val="21"/>
                      <w:szCs w:val="21"/>
                      <w:highlight w:val="none"/>
                      <w:lang w:val="en-US" w:eastAsia="zh-CN"/>
                    </w:rPr>
                    <w:t>°</w:t>
                  </w:r>
                </w:p>
              </w:tc>
            </w:tr>
          </w:tbl>
          <w:p>
            <w:pPr>
              <w:rPr>
                <w:rFonts w:hint="eastAsia"/>
                <w:b/>
                <w:bCs/>
                <w:color w:val="auto"/>
                <w:highlight w:val="none"/>
                <w:lang w:eastAsia="zh-CN"/>
              </w:rPr>
            </w:pPr>
            <w:r>
              <w:rPr>
                <w:rFonts w:hint="eastAsia"/>
                <w:b/>
                <w:bCs/>
                <w:color w:val="auto"/>
                <w:highlight w:val="none"/>
                <w:lang w:val="en-US" w:eastAsia="zh-CN"/>
              </w:rPr>
              <w:t>1.2</w:t>
            </w:r>
            <w:r>
              <w:rPr>
                <w:rFonts w:hint="eastAsia"/>
                <w:b/>
                <w:bCs/>
                <w:color w:val="auto"/>
                <w:highlight w:val="none"/>
                <w:lang w:eastAsia="zh-CN"/>
              </w:rPr>
              <w:t>源强核算分析过程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1.2.1导电浆料混合分散废气</w:t>
            </w:r>
          </w:p>
          <w:p>
            <w:pPr>
              <w:bidi w:val="0"/>
              <w:rPr>
                <w:rFonts w:hint="default"/>
                <w:color w:val="auto"/>
                <w:lang w:val="en-US" w:eastAsia="zh-CN"/>
              </w:rPr>
            </w:pPr>
            <w:r>
              <w:rPr>
                <w:rFonts w:hint="eastAsia"/>
                <w:color w:val="auto"/>
                <w:lang w:val="en-US" w:eastAsia="zh-CN"/>
              </w:rPr>
              <w:t>本项目导电碳浆在厂区内自行调配，根据建设单位提供资料，本项目所用导电碳浆成份及配比为水性有机硅树脂25%、水性丙烯酸树脂40%、丙二醇10%、石墨烯5%、石墨10%、碳黑5%、异氰酸酯5%，混合分散过程在常温下进行，各物质中仅异氰酸酯常温下会有少量挥发，混合分散时间约600h/a，时间较短，异氰酸酯挥发量按用量的5%计，项目异氰酸酯用量为16kg/a，则混合分散过程异氰酸酯挥发量为0.0008t/a，本次评价异氰酸酯以非甲烷总烃计，则混合分散过程非甲烷总烃产生量为0.0008t/a，混合分散过程产生的非甲烷总烃于车间内无组织排放，则非甲烷总烃排放量为0.0008t/a，排放速率为0.0013kg/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1.2.2封边废气</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lang w:val="en-US" w:eastAsia="zh-CN"/>
              </w:rPr>
              <w:t>本项目封装过程需采用高周波塑胶熔接机对PVC膜进行热压封边，制作PVC膜套，</w:t>
            </w:r>
            <w:r>
              <w:rPr>
                <w:rFonts w:hint="eastAsia"/>
                <w:color w:val="auto"/>
                <w:sz w:val="24"/>
                <w:highlight w:val="none"/>
                <w:lang w:val="en-US" w:eastAsia="zh-CN"/>
              </w:rPr>
              <w:t>PVC膜属于塑料制品，本身无毒，封边过程中PVC膜热压温度</w:t>
            </w:r>
            <w:r>
              <w:rPr>
                <w:rFonts w:hint="eastAsia"/>
                <w:color w:val="auto"/>
                <w:lang w:val="en-US" w:eastAsia="zh-CN"/>
              </w:rPr>
              <w:t>为</w:t>
            </w:r>
            <w:r>
              <w:rPr>
                <w:rFonts w:hint="default" w:ascii="Times New Roman" w:hAnsi="Times New Roman" w:cs="Times New Roman"/>
                <w:color w:val="auto"/>
                <w:lang w:val="en-US" w:eastAsia="zh-CN"/>
              </w:rPr>
              <w:t>120℃-140℃</w:t>
            </w:r>
            <w:r>
              <w:rPr>
                <w:rFonts w:hint="eastAsia" w:ascii="Times New Roman" w:hAnsi="Times New Roman" w:cs="Times New Roman"/>
                <w:color w:val="auto"/>
                <w:lang w:val="en-US" w:eastAsia="zh-CN"/>
              </w:rPr>
              <w:t>，</w:t>
            </w:r>
            <w:r>
              <w:rPr>
                <w:rFonts w:hint="eastAsia" w:ascii="Times New Roman" w:hAnsi="Times New Roman" w:cs="Times New Roman"/>
                <w:color w:val="auto"/>
                <w:sz w:val="24"/>
                <w:highlight w:val="none"/>
                <w:lang w:val="en-US" w:eastAsia="zh-CN"/>
              </w:rPr>
              <w:t>PVC膜在</w:t>
            </w:r>
            <w:r>
              <w:rPr>
                <w:rFonts w:hint="eastAsia"/>
                <w:color w:val="auto"/>
                <w:sz w:val="24"/>
                <w:highlight w:val="none"/>
                <w:lang w:val="en-US" w:eastAsia="zh-CN"/>
              </w:rPr>
              <w:t>140～150</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下</w:t>
            </w:r>
            <w:r>
              <w:rPr>
                <w:rFonts w:hint="eastAsia" w:cs="Times New Roman"/>
                <w:color w:val="auto"/>
                <w:sz w:val="24"/>
                <w:highlight w:val="none"/>
                <w:lang w:val="en-US" w:eastAsia="zh-CN"/>
              </w:rPr>
              <w:t>不会大量分解，仅会有少量</w:t>
            </w:r>
            <w:r>
              <w:rPr>
                <w:rFonts w:hint="eastAsia"/>
                <w:color w:val="auto"/>
                <w:sz w:val="24"/>
                <w:szCs w:val="24"/>
                <w:highlight w:val="none"/>
                <w:lang w:val="en-US" w:eastAsia="zh-CN"/>
              </w:rPr>
              <w:t>氯化氢</w:t>
            </w:r>
            <w:r>
              <w:rPr>
                <w:rFonts w:hint="eastAsia" w:cs="Times New Roman"/>
                <w:color w:val="auto"/>
                <w:sz w:val="24"/>
                <w:highlight w:val="none"/>
                <w:lang w:val="en-US" w:eastAsia="zh-CN"/>
              </w:rPr>
              <w:t>、挥发性有机物产生</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挥发性有机物</w:t>
            </w:r>
            <w:r>
              <w:rPr>
                <w:rFonts w:hint="eastAsia" w:ascii="Times New Roman" w:hAnsi="Times New Roman" w:cs="Times New Roman"/>
                <w:color w:val="auto"/>
                <w:sz w:val="24"/>
                <w:highlight w:val="none"/>
                <w:lang w:val="en-US" w:eastAsia="zh-CN"/>
              </w:rPr>
              <w:t>以非甲烷总烃计。</w:t>
            </w:r>
          </w:p>
          <w:p>
            <w:pPr>
              <w:bidi w:val="0"/>
              <w:rPr>
                <w:rFonts w:hint="default"/>
                <w:color w:val="auto"/>
                <w:highlight w:val="none"/>
                <w:lang w:val="en-US" w:eastAsia="zh-CN"/>
              </w:rPr>
            </w:pPr>
            <w:r>
              <w:rPr>
                <w:rFonts w:hint="eastAsia"/>
                <w:color w:val="auto"/>
                <w:highlight w:val="none"/>
                <w:lang w:val="en-US" w:eastAsia="zh-CN"/>
              </w:rPr>
              <w:t>本项目覆膜过程PVC膜软化废气产生量参照</w:t>
            </w:r>
            <w:r>
              <w:rPr>
                <w:rFonts w:hint="default"/>
                <w:color w:val="auto"/>
                <w:highlight w:val="none"/>
                <w:lang w:val="zh-CN"/>
              </w:rPr>
              <w:t>《空气污染物排放和控制手册》中推荐的塑料废气排放系数，在无控制措施时，非甲烷总烃的排放系数按0.35kg/t</w:t>
            </w:r>
            <w:r>
              <w:rPr>
                <w:rFonts w:hint="eastAsia"/>
                <w:color w:val="auto"/>
                <w:highlight w:val="none"/>
                <w:lang w:val="en-US" w:eastAsia="zh-CN"/>
              </w:rPr>
              <w:t>原料计，项目PVC膜用量为8万m/a，折合约8.5t/a，则非甲烷总烃产生量为0.003t/a。</w:t>
            </w:r>
            <w:r>
              <w:rPr>
                <w:rFonts w:hint="eastAsia"/>
                <w:color w:val="auto"/>
                <w:sz w:val="24"/>
                <w:szCs w:val="24"/>
                <w:highlight w:val="none"/>
                <w:lang w:val="en-US" w:eastAsia="zh-CN"/>
              </w:rPr>
              <w:t>氯化氢</w:t>
            </w:r>
            <w:r>
              <w:rPr>
                <w:rFonts w:hint="eastAsia"/>
                <w:color w:val="auto"/>
                <w:highlight w:val="none"/>
                <w:lang w:val="en-US" w:eastAsia="zh-CN"/>
              </w:rPr>
              <w:t>产生量参照《聚氯乙烯固化物的热分解脱氯化氢和辐照对热分解的影响》（《辐照防护》1982年5月，华北辐射防护研究所）一文中的相关数据，取其排放系数2.7g/t，则</w:t>
            </w:r>
            <w:r>
              <w:rPr>
                <w:rFonts w:hint="eastAsia"/>
                <w:color w:val="auto"/>
                <w:sz w:val="24"/>
                <w:szCs w:val="24"/>
                <w:highlight w:val="none"/>
                <w:lang w:val="en-US" w:eastAsia="zh-CN"/>
              </w:rPr>
              <w:t>氯化氢</w:t>
            </w:r>
            <w:r>
              <w:rPr>
                <w:rFonts w:hint="eastAsia"/>
                <w:color w:val="auto"/>
                <w:highlight w:val="none"/>
                <w:lang w:val="en-US" w:eastAsia="zh-CN"/>
              </w:rPr>
              <w:t>产生量为0.000023t/a，项目封边过程产生的废气于车间内无组织排放，封边过程运行时间为4800h/a，则封边过程非甲烷总烃排放量为0.003t/a，排放速率为0.0006kg/h，氯化氢排放量为0.000023t/a，排放速率为0.000005kg/h。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textAlignment w:val="auto"/>
              <w:rPr>
                <w:rFonts w:hint="default"/>
                <w:b/>
                <w:bCs/>
                <w:color w:val="auto"/>
                <w:highlight w:val="none"/>
                <w:lang w:val="en-US" w:eastAsia="zh-CN"/>
              </w:rPr>
            </w:pPr>
            <w:r>
              <w:rPr>
                <w:rFonts w:hint="eastAsia"/>
                <w:b/>
                <w:bCs/>
                <w:color w:val="auto"/>
                <w:highlight w:val="none"/>
                <w:lang w:val="en-US" w:eastAsia="zh-CN"/>
              </w:rPr>
              <w:t>1.2.3印刷、印刷烘干、覆膜废气</w:t>
            </w:r>
          </w:p>
          <w:p>
            <w:pPr>
              <w:bidi w:val="0"/>
              <w:rPr>
                <w:rFonts w:hint="default"/>
                <w:b w:val="0"/>
                <w:bCs w:val="0"/>
                <w:color w:val="auto"/>
                <w:highlight w:val="none"/>
                <w:lang w:val="en-US" w:eastAsia="zh-CN"/>
              </w:rPr>
            </w:pPr>
            <w:r>
              <w:rPr>
                <w:rFonts w:hint="eastAsia"/>
                <w:b w:val="0"/>
                <w:bCs w:val="0"/>
                <w:color w:val="auto"/>
                <w:highlight w:val="none"/>
                <w:lang w:val="en-US" w:eastAsia="zh-CN"/>
              </w:rPr>
              <w:t>（1）导电浆料产生废气</w:t>
            </w:r>
          </w:p>
          <w:p>
            <w:pPr>
              <w:bidi w:val="0"/>
              <w:rPr>
                <w:rFonts w:hint="eastAsia"/>
                <w:b w:val="0"/>
                <w:bCs w:val="0"/>
                <w:color w:val="auto"/>
                <w:highlight w:val="none"/>
                <w:lang w:val="en-US" w:eastAsia="zh-CN"/>
              </w:rPr>
            </w:pPr>
            <w:r>
              <w:rPr>
                <w:rFonts w:hint="eastAsia"/>
                <w:b w:val="0"/>
                <w:bCs w:val="0"/>
                <w:color w:val="auto"/>
                <w:highlight w:val="none"/>
                <w:lang w:val="en-US" w:eastAsia="zh-CN"/>
              </w:rPr>
              <w:t>本项目印刷过程使用导电碳浆，</w:t>
            </w:r>
            <w:r>
              <w:rPr>
                <w:rFonts w:hint="eastAsia"/>
                <w:color w:val="auto"/>
                <w:sz w:val="24"/>
                <w:szCs w:val="24"/>
                <w:lang w:val="en-US" w:eastAsia="zh-CN"/>
              </w:rPr>
              <w:t>印刷烘干、覆膜过程均需加热，印刷烘干温度为</w:t>
            </w:r>
            <w:r>
              <w:rPr>
                <w:rFonts w:hint="default" w:ascii="Times New Roman" w:hAnsi="Times New Roman" w:cs="Times New Roman"/>
                <w:color w:val="auto"/>
                <w:lang w:val="en-US" w:eastAsia="zh-CN"/>
              </w:rPr>
              <w:t>120℃-140℃</w:t>
            </w:r>
            <w:r>
              <w:rPr>
                <w:rFonts w:hint="eastAsia" w:ascii="Times New Roman" w:hAnsi="Times New Roman" w:cs="Times New Roman"/>
                <w:color w:val="auto"/>
                <w:lang w:val="en-US" w:eastAsia="zh-CN"/>
              </w:rPr>
              <w:t>，覆膜温度为</w:t>
            </w:r>
            <w:r>
              <w:rPr>
                <w:rFonts w:hint="default" w:ascii="Times New Roman" w:hAnsi="Times New Roman" w:cs="Times New Roman"/>
                <w:color w:val="auto"/>
                <w:lang w:val="en-US" w:eastAsia="zh-CN"/>
              </w:rPr>
              <w:t>1</w:t>
            </w:r>
            <w:r>
              <w:rPr>
                <w:rFonts w:hint="eastAsia" w:cs="Times New Roman"/>
                <w:color w:val="auto"/>
                <w:lang w:val="en-US" w:eastAsia="zh-CN"/>
              </w:rPr>
              <w:t>4</w:t>
            </w:r>
            <w:r>
              <w:rPr>
                <w:rFonts w:hint="default" w:ascii="Times New Roman" w:hAnsi="Times New Roman" w:cs="Times New Roman"/>
                <w:color w:val="auto"/>
                <w:lang w:val="en-US" w:eastAsia="zh-CN"/>
              </w:rPr>
              <w:t>0℃-1</w:t>
            </w:r>
            <w:r>
              <w:rPr>
                <w:rFonts w:hint="eastAsia" w:cs="Times New Roman"/>
                <w:color w:val="auto"/>
                <w:lang w:val="en-US" w:eastAsia="zh-CN"/>
              </w:rPr>
              <w:t>7</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，此温度下</w:t>
            </w:r>
            <w:r>
              <w:rPr>
                <w:rFonts w:hint="eastAsia"/>
                <w:color w:val="auto"/>
                <w:sz w:val="24"/>
                <w:szCs w:val="24"/>
                <w:lang w:val="en-US" w:eastAsia="zh-CN"/>
              </w:rPr>
              <w:t>水性有机硅树脂、水性丙烯酸树脂均不会分解产生挥发性有机物，丙二醇、异氰酸酯会大量挥发，本次评价按印刷、印刷烘干、覆膜过程丙二醇、异氰酸酯全部挥发计，本项目丙二醇用量为32kg/a，异氰酸酯用量为16kg/a，由于异氰酸酯在导电浆料混合分散过程已有部分挥发，挥发量为5%，则印刷、印刷烘干、覆膜过程丙二醇挥发量为0.032t/a，异氰酸酯挥发量为0.0152t/a，本次评价丙二醇、异氰酸酯均以非甲烷总烃计，则</w:t>
            </w:r>
            <w:r>
              <w:rPr>
                <w:rFonts w:hint="eastAsia"/>
                <w:b w:val="0"/>
                <w:bCs w:val="0"/>
                <w:color w:val="auto"/>
                <w:highlight w:val="none"/>
                <w:lang w:val="en-US" w:eastAsia="zh-CN"/>
              </w:rPr>
              <w:t>印刷、印刷烘干、覆膜过程导电浆料非甲烷总烃产生量为0.0472t/a。</w:t>
            </w:r>
          </w:p>
          <w:p>
            <w:pPr>
              <w:bidi w:val="0"/>
              <w:rPr>
                <w:rFonts w:hint="default"/>
                <w:b w:val="0"/>
                <w:bCs w:val="0"/>
                <w:color w:val="auto"/>
                <w:highlight w:val="none"/>
                <w:lang w:val="en-US" w:eastAsia="zh-CN"/>
              </w:rPr>
            </w:pPr>
            <w:r>
              <w:rPr>
                <w:rFonts w:hint="eastAsia"/>
                <w:b w:val="0"/>
                <w:bCs w:val="0"/>
                <w:color w:val="auto"/>
                <w:highlight w:val="none"/>
                <w:lang w:val="en-US" w:eastAsia="zh-CN"/>
              </w:rPr>
              <w:t>（2）PET膜产生废气</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sz w:val="24"/>
                <w:highlight w:val="none"/>
                <w:lang w:val="en-US" w:eastAsia="zh-CN"/>
              </w:rPr>
              <w:t>本项目覆膜过程需使用PET膜，PET膜属于塑料制品，本身无毒，生产过程中PET膜在覆膜机中加热至软化状态，一般控制在140～170</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，P</w:t>
            </w:r>
            <w:r>
              <w:rPr>
                <w:rFonts w:hint="eastAsia" w:cs="Times New Roman"/>
                <w:color w:val="auto"/>
                <w:sz w:val="24"/>
                <w:highlight w:val="none"/>
                <w:lang w:val="en-US" w:eastAsia="zh-CN"/>
              </w:rPr>
              <w:t>ET</w:t>
            </w:r>
            <w:r>
              <w:rPr>
                <w:rFonts w:hint="eastAsia" w:ascii="Times New Roman" w:hAnsi="Times New Roman" w:cs="Times New Roman"/>
                <w:color w:val="auto"/>
                <w:sz w:val="24"/>
                <w:highlight w:val="none"/>
                <w:lang w:val="en-US" w:eastAsia="zh-CN"/>
              </w:rPr>
              <w:t>膜在</w:t>
            </w:r>
            <w:r>
              <w:rPr>
                <w:rFonts w:hint="eastAsia"/>
                <w:color w:val="auto"/>
                <w:sz w:val="24"/>
                <w:highlight w:val="none"/>
                <w:lang w:val="en-US" w:eastAsia="zh-CN"/>
              </w:rPr>
              <w:t>140～170</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下</w:t>
            </w:r>
            <w:r>
              <w:rPr>
                <w:rFonts w:hint="eastAsia" w:cs="Times New Roman"/>
                <w:color w:val="auto"/>
                <w:sz w:val="24"/>
                <w:highlight w:val="none"/>
                <w:lang w:val="en-US" w:eastAsia="zh-CN"/>
              </w:rPr>
              <w:t>不会大量分解，仅会有少量挥发性有机物产生</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挥发性有机物</w:t>
            </w:r>
            <w:r>
              <w:rPr>
                <w:rFonts w:hint="eastAsia" w:ascii="Times New Roman" w:hAnsi="Times New Roman" w:cs="Times New Roman"/>
                <w:color w:val="auto"/>
                <w:sz w:val="24"/>
                <w:highlight w:val="none"/>
                <w:lang w:val="en-US" w:eastAsia="zh-CN"/>
              </w:rPr>
              <w:t>以非甲烷总烃计。</w:t>
            </w:r>
          </w:p>
          <w:p>
            <w:pPr>
              <w:pStyle w:val="61"/>
              <w:rPr>
                <w:rFonts w:hint="default"/>
                <w:color w:val="auto"/>
                <w:highlight w:val="none"/>
                <w:lang w:val="en-US" w:eastAsia="zh-CN"/>
              </w:rPr>
            </w:pPr>
            <w:r>
              <w:rPr>
                <w:rFonts w:hint="eastAsia"/>
                <w:color w:val="auto"/>
                <w:highlight w:val="none"/>
                <w:lang w:val="en-US" w:eastAsia="zh-CN"/>
              </w:rPr>
              <w:t>本项目覆膜过程PET膜软化废气产生量参照</w:t>
            </w:r>
            <w:r>
              <w:rPr>
                <w:rFonts w:hint="default"/>
                <w:color w:val="auto"/>
                <w:highlight w:val="none"/>
                <w:lang w:val="zh-CN"/>
              </w:rPr>
              <w:t>《空气污染物排放和控制手册》中推荐的塑料废气排放系数，在无控制措施时，非甲烷总烃的排放系数按0.35kg/t</w:t>
            </w:r>
            <w:r>
              <w:rPr>
                <w:rFonts w:hint="eastAsia"/>
                <w:color w:val="auto"/>
                <w:highlight w:val="none"/>
                <w:lang w:val="en-US" w:eastAsia="zh-CN"/>
              </w:rPr>
              <w:t>原料计，项目PET膜用量为12万m/a，折合约4.31t/a，则非甲烷总烃产生量为0.0015t/a。</w:t>
            </w:r>
          </w:p>
          <w:p>
            <w:pPr>
              <w:bidi w:val="0"/>
              <w:rPr>
                <w:rFonts w:hint="default"/>
                <w:b w:val="0"/>
                <w:bCs w:val="0"/>
                <w:color w:val="auto"/>
                <w:highlight w:val="none"/>
                <w:lang w:val="en-US" w:eastAsia="zh-CN"/>
              </w:rPr>
            </w:pPr>
            <w:r>
              <w:rPr>
                <w:rFonts w:hint="eastAsia"/>
                <w:b w:val="0"/>
                <w:bCs w:val="0"/>
                <w:color w:val="auto"/>
                <w:highlight w:val="none"/>
                <w:lang w:val="en-US" w:eastAsia="zh-CN"/>
              </w:rPr>
              <w:t>综上，本项目印刷、印刷烘干、覆膜过程非甲烷总烃产生量为0.0487t/a，本项目采取覆膜印刷机、覆膜烘干机封闭，在设备上方设置集气管道；自动覆膜机上方设置集气罩的措施收集印刷、印刷烘干、覆膜过程产生的非甲烷总烃，非甲烷总烃收集效率按90%计，则非甲烷总烃捕集量为0.0438t/a，无组织排放量为0.0049t/a，无组织排放速率为0.001kg/h。</w:t>
            </w:r>
          </w:p>
          <w:p>
            <w:pPr>
              <w:bidi w:val="0"/>
              <w:rPr>
                <w:rFonts w:hint="default"/>
                <w:b w:val="0"/>
                <w:bCs w:val="0"/>
                <w:color w:val="auto"/>
                <w:highlight w:val="none"/>
                <w:vertAlign w:val="baseline"/>
                <w:lang w:val="en-US" w:eastAsia="zh-CN"/>
              </w:rPr>
            </w:pPr>
            <w:r>
              <w:rPr>
                <w:rFonts w:hint="eastAsia"/>
                <w:b w:val="0"/>
                <w:bCs w:val="0"/>
                <w:color w:val="auto"/>
                <w:highlight w:val="none"/>
                <w:lang w:val="en-US" w:eastAsia="zh-CN"/>
              </w:rPr>
              <w:t>本项目建成后，</w:t>
            </w:r>
            <w:r>
              <w:rPr>
                <w:rFonts w:hint="eastAsia"/>
                <w:color w:val="auto"/>
                <w:lang w:val="en-US" w:eastAsia="zh-CN"/>
              </w:rPr>
              <w:t>淘汰现有单级活性炭吸附装置，将其替换为两级活性炭吸附装置，本项目新增印刷、印刷烘干、覆膜过程产生的废气与现有石墨烯电发热体生产线烘干及烧结还原废气采用1台风量为15000m</w:t>
            </w:r>
            <w:r>
              <w:rPr>
                <w:rFonts w:hint="eastAsia"/>
                <w:color w:val="auto"/>
                <w:vertAlign w:val="superscript"/>
                <w:lang w:val="en-US" w:eastAsia="zh-CN"/>
              </w:rPr>
              <w:t>3</w:t>
            </w:r>
            <w:r>
              <w:rPr>
                <w:rFonts w:hint="eastAsia"/>
                <w:color w:val="auto"/>
                <w:lang w:val="en-US" w:eastAsia="zh-CN"/>
              </w:rPr>
              <w:t>/h的风机引入两级活性炭吸附装置（TA002）进行处理，根据建设单位提供导电银浆成份，导电银浆中挥发性有机物含量约22%，挥发性有机物以非甲烷总烃计，本项目项目建成后，导电银浆用量为44kg/a，由于烘干及烧结还原过程非甲烷总烃均来源于电极银浆，则烘干及烧结还原过程非甲烷总烃最大产生量为0.0097t/a，故本项目建成后，全厂印刷、印刷烘干、覆膜、烘干及烧结还原工序非甲烷总烃总产生量为0.0584t/a，捕集效率均按90%计，则本项目建成后，进入两级活性炭吸附装置非甲烷总烃量为0.0526t/a，两级活性炭吸附装置对非甲烷总烃的去除效率按90%计，则非甲烷总烃有组织排放量为0.0053t/a，项目建成后印刷、印刷烘干、覆膜、烘干及烧结还原工序均为4800h/a，则非甲烷总烃有组织排放速率为0.0011kg/h，排放浓度为0.1mg/m</w:t>
            </w:r>
            <w:r>
              <w:rPr>
                <w:rFonts w:hint="eastAsia"/>
                <w:color w:val="auto"/>
                <w:vertAlign w:val="superscript"/>
                <w:lang w:val="en-US" w:eastAsia="zh-CN"/>
              </w:rPr>
              <w:t>3</w:t>
            </w:r>
            <w:r>
              <w:rPr>
                <w:rFonts w:hint="eastAsia"/>
                <w:color w:val="auto"/>
                <w:vertAlign w:val="baseline"/>
                <w:lang w:val="en-US" w:eastAsia="zh-CN"/>
              </w:rPr>
              <w:t>，满足</w:t>
            </w:r>
            <w:r>
              <w:rPr>
                <w:rFonts w:hint="default" w:ascii="Times New Roman" w:hAnsi="Times New Roman" w:eastAsia="宋体" w:cs="Times New Roman"/>
                <w:color w:val="auto"/>
                <w:sz w:val="24"/>
                <w:szCs w:val="24"/>
              </w:rPr>
              <w:t>《工业企业挥发性有机物排放控制标准》（DB13 2322-2016）表1中</w:t>
            </w:r>
            <w:r>
              <w:rPr>
                <w:rFonts w:hint="default" w:ascii="Times New Roman" w:hAnsi="Times New Roman" w:eastAsia="宋体" w:cs="Times New Roman"/>
                <w:color w:val="auto"/>
                <w:sz w:val="24"/>
                <w:szCs w:val="24"/>
                <w:lang w:eastAsia="zh-CN"/>
              </w:rPr>
              <w:t>其他行业</w:t>
            </w:r>
            <w:r>
              <w:rPr>
                <w:rFonts w:hint="default" w:ascii="Times New Roman" w:hAnsi="Times New Roman" w:eastAsia="宋体" w:cs="Times New Roman"/>
                <w:color w:val="auto"/>
                <w:sz w:val="24"/>
                <w:szCs w:val="24"/>
              </w:rPr>
              <w:t>最高允许排放浓度：非甲烷总烃</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0mg/</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eastAsia"/>
                <w:b w:val="0"/>
                <w:bCs w:val="0"/>
                <w:color w:val="auto"/>
                <w:highlight w:val="none"/>
                <w:vertAlign w:val="baseline"/>
                <w:lang w:val="en-US" w:eastAsia="zh-CN"/>
              </w:rPr>
              <w:t>。排气筒高度不低于15m，且应高出周围200m半径范围的建筑5m以上（本项目排气筒高度为30m，200m半径范围的最高建筑物为22m），同时满足企业承诺限值：</w:t>
            </w:r>
            <w:r>
              <w:rPr>
                <w:rFonts w:hint="eastAsia" w:ascii="Times New Roman" w:hAnsi="Times New Roman" w:cs="Times New Roman"/>
                <w:color w:val="auto"/>
                <w:sz w:val="24"/>
                <w:szCs w:val="24"/>
                <w:lang w:val="en-US" w:eastAsia="zh-CN"/>
              </w:rPr>
              <w:t>非甲烷总烃排放浓度不高于50mg/m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p>
          <w:p>
            <w:pPr>
              <w:bidi w:val="0"/>
              <w:rPr>
                <w:rFonts w:hint="default"/>
                <w:b/>
                <w:bCs/>
                <w:color w:val="auto"/>
                <w:highlight w:val="none"/>
                <w:lang w:val="en-US" w:eastAsia="zh-CN"/>
              </w:rPr>
            </w:pPr>
            <w:r>
              <w:rPr>
                <w:rFonts w:hint="eastAsia"/>
                <w:b/>
                <w:bCs/>
                <w:color w:val="auto"/>
                <w:highlight w:val="none"/>
                <w:lang w:val="en-US" w:eastAsia="zh-CN"/>
              </w:rPr>
              <w:t>1.2.4排气筒（DA001）污染物排放达标分析</w:t>
            </w:r>
          </w:p>
          <w:p>
            <w:pPr>
              <w:bidi w:val="0"/>
              <w:rPr>
                <w:rFonts w:hint="default"/>
                <w:b w:val="0"/>
                <w:bCs w:val="0"/>
                <w:color w:val="auto"/>
                <w:highlight w:val="none"/>
                <w:lang w:val="en-US" w:eastAsia="zh-CN"/>
              </w:rPr>
            </w:pPr>
            <w:r>
              <w:rPr>
                <w:rFonts w:hint="eastAsia"/>
                <w:b w:val="0"/>
                <w:bCs w:val="0"/>
                <w:color w:val="auto"/>
                <w:highlight w:val="none"/>
                <w:lang w:val="en-US" w:eastAsia="zh-CN"/>
              </w:rPr>
              <w:t>本项目建成后，现有工程镀膜工序生产工艺及废气治理设施均不发生变化，但由于镀膜工序废气经三级串联的碱液喷淋塔（TA001）处理后，与经两级活性炭（TA002）处理后的废气一起通过1根30m高排气筒（DA001）排放，故本次评价对其合并排放后，废气达标情况进行分析。</w:t>
            </w:r>
          </w:p>
          <w:p>
            <w:pPr>
              <w:bidi w:val="0"/>
              <w:rPr>
                <w:rFonts w:hint="default"/>
                <w:color w:val="auto"/>
                <w:vertAlign w:val="baseline"/>
                <w:lang w:val="en-US" w:eastAsia="zh-CN"/>
              </w:rPr>
            </w:pPr>
            <w:r>
              <w:rPr>
                <w:rFonts w:hint="eastAsia"/>
                <w:color w:val="auto"/>
                <w:lang w:val="en-US" w:eastAsia="zh-CN"/>
              </w:rPr>
              <w:t>根据现有工程验收检测报告，镀膜工序非甲烷总烃排放速率为0.0112kg/h，氟化物排放速率为1.63</w:t>
            </w:r>
            <w:r>
              <w:rPr>
                <w:rFonts w:hint="default" w:ascii="Times New Roman" w:hAnsi="Times New Roman" w:cs="Times New Roman"/>
                <w:color w:val="auto"/>
                <w:lang w:val="en-US" w:eastAsia="zh-CN"/>
              </w:rPr>
              <w:t>×</w:t>
            </w:r>
            <w:r>
              <w:rPr>
                <w:rFonts w:hint="eastAsia"/>
                <w:color w:val="auto"/>
                <w:lang w:val="en-US" w:eastAsia="zh-CN"/>
              </w:rPr>
              <w:t>10</w:t>
            </w:r>
            <w:r>
              <w:rPr>
                <w:rFonts w:hint="eastAsia"/>
                <w:color w:val="auto"/>
                <w:vertAlign w:val="superscript"/>
                <w:lang w:val="en-US" w:eastAsia="zh-CN"/>
              </w:rPr>
              <w:t>-3</w:t>
            </w:r>
            <w:r>
              <w:rPr>
                <w:rFonts w:hint="eastAsia"/>
                <w:color w:val="auto"/>
                <w:lang w:val="en-US" w:eastAsia="zh-CN"/>
              </w:rPr>
              <w:t>kg/h，氯化氢排放速率为0.0119kg/h，运行负荷为85%，折算为满负荷后非甲烷总烃排放速率为0.0132kg/h，氟化物排放速率为0.0019kg/h，氯化氢排放速率为0.014kg/h，现有工程镀膜工序年运行时间为2400h，则现有工程镀膜工序非甲烷总烃排放量为0.0317t/a，氟化物排放量为0.0046t/a，氯化氢排放量为0.0336t/a，由于镀膜工序非甲烷总烃、氟化物、氯化氢均来源于镀膜液，本项目建成后镀膜液用量减少八分之一，镀膜工序年运行时间为4800h，则本项目建成后镀膜工序非甲烷总烃有组织排放量为0.0277t/a，排放速率为0.0058kg/h，氟化物有组织排放量为0.004t/a，排放速率为0.0008kg/h，氯化氢有组织排放量为0.0294t/a，排放速率为0.0061kg/h。因此，经排气筒（DA001）排放的非甲烷总烃量为0.033t/a，排放速率为0.0069kg/h，排放浓度为0.4</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，氟化物</w:t>
            </w:r>
            <w:r>
              <w:rPr>
                <w:rFonts w:hint="eastAsia"/>
                <w:color w:val="auto"/>
                <w:lang w:val="en-US" w:eastAsia="zh-CN"/>
              </w:rPr>
              <w:t>排放量为0.004t/a，排放速率为0.0008kg/h，排放浓度为0.05</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r>
              <w:rPr>
                <w:rFonts w:hint="eastAsia"/>
                <w:color w:val="auto"/>
                <w:lang w:val="en-US" w:eastAsia="zh-CN"/>
              </w:rPr>
              <w:t>氯化氢排放量为0.0294t/a，排放速率为0.0061kg/h，排放浓度为0.41</w:t>
            </w:r>
            <w:r>
              <w:rPr>
                <w:rFonts w:hint="eastAsia" w:ascii="Times New Roman" w:hAnsi="Times New Roman" w:cs="Times New Roman"/>
                <w:color w:val="auto"/>
                <w:sz w:val="24"/>
                <w:szCs w:val="24"/>
                <w:lang w:val="en-US" w:eastAsia="zh-CN"/>
              </w:rPr>
              <w:t>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，满足</w:t>
            </w:r>
            <w:r>
              <w:rPr>
                <w:rFonts w:hint="eastAsia"/>
                <w:color w:val="auto"/>
                <w:lang w:val="en-US" w:eastAsia="zh-CN"/>
              </w:rPr>
              <w:t>《大气污染物综合排放标准》（GB16297-1996）中相关限值：氯化物最高允许排放浓度100mg/m</w:t>
            </w:r>
            <w:r>
              <w:rPr>
                <w:rFonts w:hint="eastAsia"/>
                <w:color w:val="auto"/>
                <w:vertAlign w:val="superscript"/>
                <w:lang w:val="en-US" w:eastAsia="zh-CN"/>
              </w:rPr>
              <w:t>3</w:t>
            </w:r>
            <w:r>
              <w:rPr>
                <w:rFonts w:hint="eastAsia"/>
                <w:color w:val="auto"/>
                <w:lang w:val="en-US" w:eastAsia="zh-CN"/>
              </w:rPr>
              <w:t>，最高允许排放速率1.4kg/h，氟化物最高允许排放浓度9.0mg/m</w:t>
            </w:r>
            <w:r>
              <w:rPr>
                <w:rFonts w:hint="eastAsia"/>
                <w:color w:val="auto"/>
                <w:vertAlign w:val="superscript"/>
                <w:lang w:val="en-US" w:eastAsia="zh-CN"/>
              </w:rPr>
              <w:t>3</w:t>
            </w:r>
            <w:r>
              <w:rPr>
                <w:rFonts w:hint="eastAsia"/>
                <w:color w:val="auto"/>
                <w:lang w:val="en-US" w:eastAsia="zh-CN"/>
              </w:rPr>
              <w:t>，最高允许排放速率0.59kg/h，</w:t>
            </w:r>
            <w:r>
              <w:rPr>
                <w:rFonts w:hint="default" w:ascii="Times New Roman" w:hAnsi="Times New Roman" w:eastAsia="宋体" w:cs="Times New Roman"/>
                <w:color w:val="auto"/>
                <w:sz w:val="24"/>
                <w:szCs w:val="24"/>
              </w:rPr>
              <w:t>《工业企业挥发性有机物排放控制标准》（DB13 2322-2016）表1中</w:t>
            </w:r>
            <w:r>
              <w:rPr>
                <w:rFonts w:hint="default" w:ascii="Times New Roman" w:hAnsi="Times New Roman" w:eastAsia="宋体" w:cs="Times New Roman"/>
                <w:color w:val="auto"/>
                <w:sz w:val="24"/>
                <w:szCs w:val="24"/>
                <w:lang w:eastAsia="zh-CN"/>
              </w:rPr>
              <w:t>其他行业</w:t>
            </w:r>
            <w:r>
              <w:rPr>
                <w:rFonts w:hint="default" w:ascii="Times New Roman" w:hAnsi="Times New Roman" w:eastAsia="宋体" w:cs="Times New Roman"/>
                <w:color w:val="auto"/>
                <w:sz w:val="24"/>
                <w:szCs w:val="24"/>
              </w:rPr>
              <w:t>最高允许排放浓度：非甲烷总烃</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0mg/</w:t>
            </w:r>
            <w:r>
              <w:rPr>
                <w:rFonts w:hint="default" w:ascii="Times New Roman" w:hAnsi="Times New Roman" w:eastAsia="宋体" w:cs="Times New Roman"/>
                <w:color w:val="auto"/>
                <w:sz w:val="24"/>
                <w:szCs w:val="24"/>
                <w:lang w:eastAsia="zh-CN"/>
              </w:rPr>
              <w:t>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，同时满足</w:t>
            </w:r>
            <w:r>
              <w:rPr>
                <w:rFonts w:hint="eastAsia" w:ascii="Times New Roman" w:hAnsi="Times New Roman" w:cs="Times New Roman"/>
                <w:color w:val="auto"/>
                <w:sz w:val="24"/>
                <w:szCs w:val="24"/>
                <w:lang w:val="en-US" w:eastAsia="zh-CN"/>
              </w:rPr>
              <w:t>企业承诺限值：氯化氢排放浓度不高于10mg/m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，氟化物排放浓度不高于3mg/m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，非甲烷总烃排放浓度不高于50mg/m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vertAlign w:val="baseline"/>
                <w:lang w:val="en-US" w:eastAsia="zh-CN"/>
              </w:rPr>
              <w:t>。</w:t>
            </w:r>
          </w:p>
          <w:p>
            <w:pPr>
              <w:bidi w:val="0"/>
              <w:rPr>
                <w:rFonts w:hint="eastAsia"/>
                <w:b/>
                <w:bCs/>
                <w:color w:val="auto"/>
                <w:lang w:val="en-US" w:eastAsia="zh-CN"/>
              </w:rPr>
            </w:pPr>
            <w:r>
              <w:rPr>
                <w:rFonts w:hint="eastAsia"/>
                <w:b/>
                <w:bCs/>
                <w:color w:val="auto"/>
                <w:lang w:val="en-US" w:eastAsia="zh-CN"/>
              </w:rPr>
              <w:t>1.2.5无组织废气</w:t>
            </w:r>
          </w:p>
          <w:p>
            <w:pPr>
              <w:bidi w:val="0"/>
              <w:rPr>
                <w:rFonts w:hint="eastAsia" w:eastAsia="宋体"/>
                <w:color w:val="auto"/>
                <w:vertAlign w:val="baseline"/>
                <w:lang w:val="en-US" w:eastAsia="zh-CN"/>
              </w:rPr>
            </w:pPr>
            <w:r>
              <w:rPr>
                <w:rFonts w:hint="eastAsia"/>
                <w:color w:val="auto"/>
                <w:lang w:val="en-US" w:eastAsia="zh-CN"/>
              </w:rPr>
              <w:t>根据1.2.1至1.2.3分析，本项目非甲烷总烃无组织排放量为0.0087t/a，最大排放速率为0.0029kg/h，氯化氢无组织排放量为0.000023t/a，排放速率为0.000005kg/h，</w:t>
            </w:r>
            <w:r>
              <w:rPr>
                <w:rFonts w:ascii="Times New Roman" w:hAnsi="Times New Roman"/>
                <w:color w:val="auto"/>
                <w:sz w:val="24"/>
                <w:szCs w:val="24"/>
                <w:highlight w:val="none"/>
              </w:rPr>
              <w:t>经AERSCREEN预测</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氯化氢最大落地浓度为1.76</w:t>
            </w:r>
            <w:r>
              <w:rPr>
                <w:rFonts w:hint="default" w:ascii="Times New Roman" w:hAnsi="Times New Roman" w:cs="Times New Roman"/>
                <w:color w:val="auto"/>
                <w:sz w:val="24"/>
                <w:szCs w:val="24"/>
                <w:highlight w:val="none"/>
                <w:lang w:val="en-US" w:eastAsia="zh-CN"/>
              </w:rPr>
              <w:t>×</w:t>
            </w:r>
            <w:r>
              <w:rPr>
                <w:rFonts w:hint="eastAsia" w:ascii="Times New Roman" w:hAnsi="Times New Roman"/>
                <w:color w:val="auto"/>
                <w:sz w:val="24"/>
                <w:szCs w:val="24"/>
                <w:highlight w:val="none"/>
                <w:lang w:val="en-US" w:eastAsia="zh-CN"/>
              </w:rPr>
              <w:t>10</w:t>
            </w:r>
            <w:r>
              <w:rPr>
                <w:rFonts w:hint="eastAsia" w:ascii="Times New Roman" w:hAnsi="Times New Roman"/>
                <w:color w:val="auto"/>
                <w:sz w:val="24"/>
                <w:szCs w:val="24"/>
                <w:highlight w:val="none"/>
                <w:vertAlign w:val="superscript"/>
                <w:lang w:val="en-US" w:eastAsia="zh-CN"/>
              </w:rPr>
              <w:t>-6</w:t>
            </w:r>
            <w:r>
              <w:rPr>
                <w:rFonts w:hint="eastAsia" w:ascii="Times New Roman" w:hAnsi="Times New Roman"/>
                <w:color w:val="auto"/>
                <w:sz w:val="24"/>
                <w:szCs w:val="24"/>
                <w:highlight w:val="none"/>
                <w:lang w:val="en-US" w:eastAsia="zh-CN"/>
              </w:rPr>
              <w:t>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，满足</w:t>
            </w:r>
            <w:r>
              <w:rPr>
                <w:rFonts w:hint="default"/>
                <w:color w:val="auto"/>
                <w:sz w:val="24"/>
                <w:szCs w:val="24"/>
                <w:highlight w:val="none"/>
              </w:rPr>
              <w:t>《大气污染物综合排放标准》（GB16297-1996）表2中无组织排放监控浓度限值要求：</w:t>
            </w:r>
            <w:r>
              <w:rPr>
                <w:rFonts w:hint="eastAsia"/>
                <w:color w:val="auto"/>
                <w:sz w:val="24"/>
                <w:szCs w:val="24"/>
                <w:highlight w:val="none"/>
                <w:lang w:val="en-US" w:eastAsia="zh-CN"/>
              </w:rPr>
              <w:t>氯化氢</w:t>
            </w:r>
            <w:r>
              <w:rPr>
                <w:rFonts w:hint="default"/>
                <w:color w:val="auto"/>
                <w:sz w:val="24"/>
                <w:szCs w:val="24"/>
                <w:highlight w:val="none"/>
              </w:rPr>
              <w:t>无组织排放周界外浓度最高</w:t>
            </w:r>
            <w:r>
              <w:rPr>
                <w:rFonts w:hint="eastAsia"/>
                <w:color w:val="auto"/>
                <w:sz w:val="24"/>
                <w:szCs w:val="24"/>
                <w:highlight w:val="none"/>
                <w:lang w:val="en-US" w:eastAsia="zh-CN"/>
              </w:rPr>
              <w:t>0.2</w:t>
            </w:r>
            <w:r>
              <w:rPr>
                <w:rFonts w:hint="default"/>
                <w:color w:val="auto"/>
                <w:sz w:val="24"/>
                <w:szCs w:val="24"/>
                <w:highlight w:val="none"/>
              </w:rPr>
              <w:t>mg/m</w:t>
            </w:r>
            <w:r>
              <w:rPr>
                <w:rFonts w:hint="default"/>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ascii="Times New Roman" w:hAnsi="Times New Roman"/>
                <w:color w:val="auto"/>
                <w:sz w:val="24"/>
                <w:szCs w:val="24"/>
                <w:highlight w:val="none"/>
                <w:lang w:val="en-US" w:eastAsia="zh-CN"/>
              </w:rPr>
              <w:t>非甲烷总烃最大落地浓度为0.00102mg/m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lang w:val="en-US" w:eastAsia="zh-CN"/>
              </w:rPr>
              <w:t>，根据现有工程验收检测报告，厂界非甲烷总烃最大浓度为1.40mg/m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vertAlign w:val="baseline"/>
                <w:lang w:val="en-US" w:eastAsia="zh-CN"/>
              </w:rPr>
              <w:t>，</w:t>
            </w:r>
            <w:r>
              <w:rPr>
                <w:rFonts w:hint="eastAsia"/>
                <w:color w:val="auto"/>
                <w:sz w:val="24"/>
                <w:szCs w:val="24"/>
                <w:highlight w:val="none"/>
                <w:vertAlign w:val="baseline"/>
                <w:lang w:val="en-US" w:eastAsia="zh-CN"/>
              </w:rPr>
              <w:t>本项目</w:t>
            </w:r>
            <w:r>
              <w:rPr>
                <w:rFonts w:hint="eastAsia"/>
                <w:color w:val="auto"/>
                <w:sz w:val="24"/>
                <w:szCs w:val="24"/>
                <w:highlight w:val="none"/>
                <w:lang w:val="en-US" w:eastAsia="zh-CN"/>
              </w:rPr>
              <w:t>非甲烷总烃</w:t>
            </w:r>
            <w:r>
              <w:rPr>
                <w:rFonts w:hint="eastAsia"/>
                <w:color w:val="auto"/>
                <w:sz w:val="24"/>
                <w:szCs w:val="24"/>
                <w:highlight w:val="none"/>
                <w:vertAlign w:val="baseline"/>
                <w:lang w:val="en-US" w:eastAsia="zh-CN"/>
              </w:rPr>
              <w:t>最大落地浓度叠加现有工程厂界无组织最大排放浓度为1.40102</w:t>
            </w:r>
            <w:r>
              <w:rPr>
                <w:rFonts w:hint="eastAsia" w:ascii="Times New Roman" w:hAnsi="Times New Roman" w:cs="Times New Roman"/>
                <w:color w:val="auto"/>
                <w:sz w:val="24"/>
                <w:szCs w:val="24"/>
                <w:highlight w:val="none"/>
                <w:lang w:val="en-US" w:eastAsia="zh-CN"/>
              </w:rPr>
              <w:t>m</w:t>
            </w:r>
            <w:r>
              <w:rPr>
                <w:rFonts w:hint="eastAsia" w:ascii="Times New Roman" w:hAnsi="Times New Roman"/>
                <w:color w:val="auto"/>
                <w:sz w:val="24"/>
                <w:szCs w:val="24"/>
                <w:highlight w:val="none"/>
                <w:lang w:val="en-US" w:eastAsia="zh-CN"/>
              </w:rPr>
              <w:t>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vertAlign w:val="baseline"/>
                <w:lang w:val="en-US" w:eastAsia="zh-CN"/>
              </w:rPr>
              <w:t>，满足</w:t>
            </w: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vertAlign w:val="baseline"/>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highlight w:val="none"/>
                <w:lang w:val="en-US" w:eastAsia="zh-CN"/>
              </w:rPr>
            </w:pPr>
            <w:r>
              <w:rPr>
                <w:rFonts w:hint="eastAsia"/>
                <w:b/>
                <w:bCs/>
                <w:color w:val="auto"/>
                <w:highlight w:val="none"/>
                <w:lang w:val="en-US" w:eastAsia="zh-CN"/>
              </w:rPr>
              <w:t>1.3非正常情况分析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color w:val="auto"/>
                <w:highlight w:val="none"/>
                <w:lang w:val="en-US" w:eastAsia="zh-CN"/>
              </w:rPr>
            </w:pPr>
            <w:r>
              <w:rPr>
                <w:rFonts w:hint="eastAsia"/>
                <w:color w:val="auto"/>
                <w:highlight w:val="none"/>
                <w:lang w:val="en-US" w:eastAsia="zh-CN"/>
              </w:rPr>
              <w:t>本项目可能发生的非正常工况主要为环保设施发生故障，发生故障时污染物不经过处理，直接排放至大气中，废气治理设施效率按0%计。故障频次按每年发生1次，每次持续0.5h计。环保设施发生故障后，立即停产，对故障设施进行检修，待故障设施恢复正常后恢复生产。本项目非正常工况污染物排放情况见下表。</w:t>
            </w:r>
          </w:p>
          <w:p>
            <w:pPr>
              <w:pStyle w:val="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color w:val="auto"/>
                <w:sz w:val="21"/>
                <w:szCs w:val="21"/>
                <w:highlight w:val="none"/>
                <w:shd w:val="clear" w:color="auto" w:fill="auto"/>
              </w:rPr>
            </w:pPr>
          </w:p>
          <w:p>
            <w:pPr>
              <w:pStyle w:val="4"/>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color w:val="auto"/>
                <w:sz w:val="21"/>
                <w:szCs w:val="21"/>
                <w:highlight w:val="none"/>
                <w:shd w:val="clear" w:color="auto" w:fill="auto"/>
              </w:rPr>
            </w:pPr>
            <w:r>
              <w:rPr>
                <w:rFonts w:hint="default"/>
                <w:color w:val="auto"/>
                <w:sz w:val="21"/>
                <w:szCs w:val="21"/>
                <w:highlight w:val="none"/>
                <w:shd w:val="clear" w:color="auto" w:fill="auto"/>
              </w:rPr>
              <w:t>表</w:t>
            </w:r>
            <w:r>
              <w:rPr>
                <w:rFonts w:hint="eastAsia"/>
                <w:color w:val="auto"/>
                <w:sz w:val="21"/>
                <w:szCs w:val="21"/>
                <w:highlight w:val="none"/>
                <w:shd w:val="clear" w:color="auto" w:fill="auto"/>
                <w:lang w:val="en-US" w:eastAsia="zh-CN"/>
              </w:rPr>
              <w:t>29</w:t>
            </w:r>
            <w:r>
              <w:rPr>
                <w:rFonts w:hint="default"/>
                <w:color w:val="auto"/>
                <w:sz w:val="21"/>
                <w:szCs w:val="21"/>
                <w:highlight w:val="none"/>
                <w:shd w:val="clear" w:color="auto" w:fill="auto"/>
              </w:rPr>
              <w:t xml:space="preserve">  </w:t>
            </w:r>
            <w:r>
              <w:rPr>
                <w:rFonts w:hint="eastAsia"/>
                <w:color w:val="auto"/>
                <w:sz w:val="21"/>
                <w:szCs w:val="21"/>
                <w:highlight w:val="none"/>
                <w:shd w:val="clear" w:color="auto" w:fill="auto"/>
                <w:lang w:eastAsia="zh-CN"/>
              </w:rPr>
              <w:t>非正常排放参数一</w:t>
            </w:r>
            <w:r>
              <w:rPr>
                <w:rFonts w:hint="default"/>
                <w:color w:val="auto"/>
                <w:sz w:val="21"/>
                <w:szCs w:val="21"/>
                <w:highlight w:val="none"/>
                <w:shd w:val="clear" w:color="auto" w:fill="auto"/>
              </w:rPr>
              <w:t>览表</w:t>
            </w:r>
          </w:p>
          <w:tbl>
            <w:tblPr>
              <w:tblStyle w:val="24"/>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44"/>
              <w:gridCol w:w="726"/>
              <w:gridCol w:w="1300"/>
              <w:gridCol w:w="967"/>
              <w:gridCol w:w="1192"/>
              <w:gridCol w:w="1123"/>
              <w:gridCol w:w="11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34" w:hRule="atLeast"/>
                <w:jc w:val="center"/>
              </w:trPr>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非正常排放源</w:t>
                  </w:r>
                </w:p>
              </w:tc>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频次</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排放浓度</w:t>
                  </w:r>
                </w:p>
              </w:tc>
              <w:tc>
                <w:tcPr>
                  <w:tcW w:w="9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持续时间</w:t>
                  </w:r>
                </w:p>
              </w:tc>
              <w:tc>
                <w:tcPr>
                  <w:tcW w:w="11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val="en-US" w:eastAsia="zh-CN"/>
                    </w:rPr>
                    <w:t>污染物</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排放量</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0" w:hRule="atLeast"/>
                <w:jc w:val="center"/>
              </w:trPr>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两级活性炭吸附装置发生故障</w:t>
                  </w:r>
                </w:p>
              </w:tc>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1次/年</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1.32mg/m</w:t>
                  </w:r>
                  <w:r>
                    <w:rPr>
                      <w:rFonts w:hint="eastAsia" w:cs="Times New Roman"/>
                      <w:b w:val="0"/>
                      <w:bCs/>
                      <w:caps w:val="0"/>
                      <w:color w:val="auto"/>
                      <w:spacing w:val="0"/>
                      <w:position w:val="0"/>
                      <w:sz w:val="21"/>
                      <w:szCs w:val="21"/>
                      <w:highlight w:val="none"/>
                      <w:shd w:val="clear" w:color="auto" w:fill="auto"/>
                      <w:vertAlign w:val="superscript"/>
                      <w:lang w:val="en-US" w:eastAsia="zh-CN"/>
                    </w:rPr>
                    <w:t>3</w:t>
                  </w:r>
                </w:p>
              </w:tc>
              <w:tc>
                <w:tcPr>
                  <w:tcW w:w="9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单次</w:t>
                  </w:r>
                  <w:r>
                    <w:rPr>
                      <w:rFonts w:hint="eastAsia" w:cs="Times New Roman"/>
                      <w:b w:val="0"/>
                      <w:bCs/>
                      <w:caps w:val="0"/>
                      <w:color w:val="auto"/>
                      <w:spacing w:val="0"/>
                      <w:position w:val="0"/>
                      <w:sz w:val="21"/>
                      <w:szCs w:val="21"/>
                      <w:highlight w:val="none"/>
                      <w:shd w:val="clear" w:color="auto" w:fill="auto"/>
                      <w:lang w:val="en-US" w:eastAsia="zh-CN"/>
                    </w:rPr>
                    <w:t>0.5</w:t>
                  </w: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h</w:t>
                  </w:r>
                </w:p>
              </w:tc>
              <w:tc>
                <w:tcPr>
                  <w:tcW w:w="11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非甲烷总烃</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0.00111</w:t>
                  </w: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kg</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cs="Times New Roman"/>
                      <w:b w:val="0"/>
                      <w:bCs/>
                      <w:caps w:val="0"/>
                      <w:color w:val="auto"/>
                      <w:spacing w:val="0"/>
                      <w:position w:val="0"/>
                      <w:sz w:val="21"/>
                      <w:szCs w:val="21"/>
                      <w:highlight w:val="none"/>
                      <w:shd w:val="clear" w:color="auto" w:fill="auto"/>
                      <w:lang w:val="en-US" w:eastAsia="zh-CN"/>
                    </w:rPr>
                    <w:t>停产、维修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719" w:hRule="atLeast"/>
                <w:jc w:val="center"/>
              </w:trPr>
              <w:tc>
                <w:tcPr>
                  <w:tcW w:w="827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caps w:val="0"/>
                      <w:color w:val="auto"/>
                      <w:spacing w:val="0"/>
                      <w:position w:val="0"/>
                      <w:sz w:val="21"/>
                      <w:szCs w:val="21"/>
                      <w:highlight w:val="none"/>
                      <w:shd w:val="clear" w:color="auto" w:fill="auto"/>
                      <w:lang w:val="en-US" w:eastAsia="zh-CN"/>
                    </w:rPr>
                  </w:pPr>
                  <w:r>
                    <w:rPr>
                      <w:rFonts w:hint="eastAsia" w:cs="Times New Roman"/>
                      <w:b w:val="0"/>
                      <w:bCs/>
                      <w:caps w:val="0"/>
                      <w:color w:val="auto"/>
                      <w:spacing w:val="0"/>
                      <w:position w:val="0"/>
                      <w:sz w:val="21"/>
                      <w:szCs w:val="21"/>
                      <w:highlight w:val="none"/>
                      <w:shd w:val="clear" w:color="auto" w:fill="auto"/>
                      <w:lang w:val="en-US" w:eastAsia="zh-CN"/>
                    </w:rPr>
                    <w:t>备注：非正常工况下非甲烷总烃排放量及排放浓度包含经碱式喷淋塔处理的非甲烷总烃和经故障设施处理后的印刷、印刷烘干、覆膜、烘干及烧结还原工序非甲烷总烃。</w:t>
                  </w:r>
                </w:p>
              </w:tc>
            </w:tr>
          </w:tbl>
          <w:p>
            <w:pPr>
              <w:bidi w:val="0"/>
              <w:rPr>
                <w:rFonts w:hint="eastAsia"/>
                <w:b/>
                <w:bCs/>
                <w:color w:val="auto"/>
                <w:highlight w:val="none"/>
              </w:rPr>
            </w:pPr>
            <w:r>
              <w:rPr>
                <w:rFonts w:hint="default"/>
                <w:b/>
                <w:bCs/>
                <w:color w:val="auto"/>
                <w:highlight w:val="none"/>
              </w:rPr>
              <w:t>1.</w:t>
            </w:r>
            <w:r>
              <w:rPr>
                <w:rFonts w:hint="eastAsia"/>
                <w:b/>
                <w:bCs/>
                <w:color w:val="auto"/>
                <w:highlight w:val="none"/>
                <w:lang w:val="en-US" w:eastAsia="zh-CN"/>
              </w:rPr>
              <w:t>4</w:t>
            </w:r>
            <w:r>
              <w:rPr>
                <w:rFonts w:hint="eastAsia"/>
                <w:b/>
                <w:bCs/>
                <w:color w:val="auto"/>
                <w:highlight w:val="none"/>
              </w:rPr>
              <w:t>废气治理设施可行性分析</w:t>
            </w:r>
          </w:p>
          <w:p>
            <w:pPr>
              <w:numPr>
                <w:ilvl w:val="0"/>
                <w:numId w:val="27"/>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活性炭吸附装置</w:t>
            </w:r>
          </w:p>
          <w:p>
            <w:pPr>
              <w:keepNext w:val="0"/>
              <w:keepLines w:val="0"/>
              <w:pageBreakBefore w:val="0"/>
              <w:suppressLineNumbers w:val="0"/>
              <w:kinsoku/>
              <w:wordWrap/>
              <w:overflowPunct/>
              <w:topLinePunct w:val="0"/>
              <w:autoSpaceDE/>
              <w:autoSpaceDN/>
              <w:bidi w:val="0"/>
              <w:adjustRightInd/>
              <w:snapToGrid/>
              <w:spacing w:beforeAutospacing="0" w:after="0" w:afterAutospacing="0" w:line="480" w:lineRule="exact"/>
              <w:ind w:left="0" w:right="0" w:firstLine="480" w:firstLineChars="200"/>
              <w:jc w:val="left"/>
              <w:textAlignment w:val="auto"/>
              <w:rPr>
                <w:rFonts w:hint="default"/>
                <w:color w:val="auto"/>
                <w:highlight w:val="none"/>
              </w:rPr>
            </w:pPr>
            <w:r>
              <w:rPr>
                <w:rFonts w:hint="eastAsia"/>
                <w:color w:val="auto"/>
                <w:highlight w:val="none"/>
              </w:rPr>
              <w:t>活性炭吸附</w:t>
            </w:r>
            <w:r>
              <w:rPr>
                <w:rFonts w:hint="default"/>
                <w:color w:val="auto"/>
                <w:highlight w:val="none"/>
              </w:rPr>
              <w:t>原理：</w:t>
            </w:r>
            <w:r>
              <w:rPr>
                <w:rFonts w:hint="eastAsia"/>
                <w:color w:val="auto"/>
                <w:highlight w:val="none"/>
              </w:rPr>
              <w:t>废气由风机提供动力，负压进入吸附箱后进入活性炭吸附层，由于活性炭吸附剂表面上存在着未平衡和未饱和的分子引力或化学键力，当活性炭吸附剂的表面与气体接触时，就能吸引气体分子，使其浓聚并保持在活性炭表面，此现象称为吸附。利用活性炭吸附剂表面的吸附能力，使废气与表面的多孔性活性炭吸附剂相接触，废气中的污染物被吸附在活性炭表面上，使其与气体混合物分离，净化后的气体高空排放。活性炭吸附箱是一种干式废气处理设备，由箱体和填装在箱体内的吸附单元组成。</w:t>
            </w:r>
          </w:p>
          <w:p>
            <w:pPr>
              <w:keepNext w:val="0"/>
              <w:keepLines w:val="0"/>
              <w:pageBreakBefore w:val="0"/>
              <w:suppressLineNumbers w:val="0"/>
              <w:kinsoku/>
              <w:wordWrap/>
              <w:overflowPunct/>
              <w:topLinePunct w:val="0"/>
              <w:autoSpaceDE/>
              <w:autoSpaceDN/>
              <w:bidi w:val="0"/>
              <w:adjustRightInd/>
              <w:snapToGrid/>
              <w:spacing w:beforeAutospacing="0" w:after="0" w:afterAutospacing="0" w:line="480" w:lineRule="exact"/>
              <w:ind w:left="0" w:right="0" w:firstLine="480" w:firstLineChars="200"/>
              <w:textAlignment w:val="auto"/>
              <w:rPr>
                <w:rFonts w:hint="default"/>
                <w:color w:val="auto"/>
                <w:highlight w:val="none"/>
              </w:rPr>
            </w:pPr>
            <w:r>
              <w:rPr>
                <w:rFonts w:hint="eastAsia"/>
                <w:color w:val="auto"/>
                <w:highlight w:val="none"/>
              </w:rPr>
              <w:t>活性炭吸附装置具有以下特点：</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80" w:lineRule="exact"/>
              <w:ind w:left="0" w:right="0" w:firstLine="480" w:firstLineChars="200"/>
              <w:jc w:val="left"/>
              <w:textAlignment w:val="auto"/>
              <w:rPr>
                <w:rFonts w:hint="default"/>
                <w:color w:val="auto"/>
                <w:highlight w:val="none"/>
              </w:rPr>
            </w:pPr>
            <w:r>
              <w:rPr>
                <w:rFonts w:hint="eastAsia"/>
                <w:color w:val="auto"/>
                <w:highlight w:val="none"/>
              </w:rPr>
              <w:t>a.吸附效率高，能力强；</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80" w:lineRule="exact"/>
              <w:ind w:left="0" w:right="0" w:firstLine="480" w:firstLineChars="200"/>
              <w:jc w:val="left"/>
              <w:textAlignment w:val="auto"/>
              <w:rPr>
                <w:rFonts w:hint="default"/>
                <w:color w:val="auto"/>
                <w:highlight w:val="none"/>
              </w:rPr>
            </w:pPr>
            <w:r>
              <w:rPr>
                <w:rFonts w:hint="eastAsia"/>
                <w:color w:val="auto"/>
                <w:highlight w:val="none"/>
              </w:rPr>
              <w:t>b.能够同时处理多种混合有机废气，净化效率</w:t>
            </w:r>
            <w:r>
              <w:rPr>
                <w:rFonts w:hint="default"/>
                <w:color w:val="auto"/>
                <w:highlight w:val="none"/>
              </w:rPr>
              <w:t>≥</w:t>
            </w:r>
            <w:r>
              <w:rPr>
                <w:rFonts w:hint="eastAsia"/>
                <w:color w:val="auto"/>
                <w:highlight w:val="none"/>
              </w:rPr>
              <w:t>9</w:t>
            </w:r>
            <w:r>
              <w:rPr>
                <w:rFonts w:hint="eastAsia"/>
                <w:color w:val="auto"/>
                <w:highlight w:val="none"/>
                <w:lang w:val="en-US" w:eastAsia="zh-CN"/>
              </w:rPr>
              <w:t>0</w:t>
            </w:r>
            <w:r>
              <w:rPr>
                <w:rFonts w:hint="eastAsia"/>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80" w:lineRule="exact"/>
              <w:ind w:left="0" w:right="0" w:firstLine="480" w:firstLineChars="200"/>
              <w:jc w:val="left"/>
              <w:textAlignment w:val="auto"/>
              <w:rPr>
                <w:rFonts w:hint="default"/>
                <w:color w:val="auto"/>
                <w:highlight w:val="none"/>
              </w:rPr>
            </w:pPr>
            <w:r>
              <w:rPr>
                <w:rFonts w:hint="eastAsia"/>
                <w:color w:val="auto"/>
                <w:highlight w:val="none"/>
              </w:rPr>
              <w:t>c.设备构造紧凑，占地面积小，维护管理简单，运转成本低；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left"/>
              <w:textAlignment w:val="auto"/>
              <w:rPr>
                <w:rFonts w:hint="eastAsia"/>
                <w:color w:val="auto"/>
                <w:highlight w:val="none"/>
              </w:rPr>
            </w:pPr>
            <w:r>
              <w:rPr>
                <w:rFonts w:hint="eastAsia"/>
                <w:color w:val="auto"/>
                <w:highlight w:val="none"/>
              </w:rPr>
              <w:t>d.采用自动化控制运转设计，操作简单，安全；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right="0" w:firstLine="480" w:firstLineChars="200"/>
              <w:jc w:val="left"/>
              <w:textAlignment w:val="auto"/>
              <w:rPr>
                <w:rFonts w:hint="eastAsia"/>
                <w:color w:val="auto"/>
                <w:highlight w:val="none"/>
              </w:rPr>
            </w:pPr>
            <w:r>
              <w:rPr>
                <w:rFonts w:hint="eastAsia"/>
                <w:color w:val="auto"/>
                <w:highlight w:val="none"/>
              </w:rPr>
              <w:t>e.全封闭型，室内外皆可使用。</w:t>
            </w:r>
          </w:p>
          <w:p>
            <w:pPr>
              <w:keepNext w:val="0"/>
              <w:keepLines w:val="0"/>
              <w:suppressLineNumbers w:val="0"/>
              <w:spacing w:before="0" w:beforeAutospacing="0" w:after="0" w:afterAutospacing="0" w:line="480" w:lineRule="exact"/>
              <w:ind w:left="0" w:right="0" w:firstLine="480" w:firstLineChars="200"/>
              <w:rPr>
                <w:rFonts w:hint="default"/>
                <w:color w:val="auto"/>
                <w:highlight w:val="none"/>
                <w:lang w:val="en-US" w:eastAsia="zh-CN"/>
              </w:rPr>
            </w:pPr>
            <w:r>
              <w:rPr>
                <w:rFonts w:hint="eastAsia"/>
                <w:color w:val="auto"/>
                <w:highlight w:val="none"/>
                <w:lang w:val="en-US" w:eastAsia="zh-CN"/>
              </w:rPr>
              <w:t>根据“</w:t>
            </w:r>
            <w:r>
              <w:rPr>
                <w:rFonts w:hint="eastAsia"/>
                <w:color w:val="auto"/>
                <w:highlight w:val="none"/>
              </w:rPr>
              <w:t>关于印发《河北省涉VOCs工业企业常用治理技术指南》的通知</w:t>
            </w:r>
            <w:r>
              <w:rPr>
                <w:rFonts w:hint="eastAsia"/>
                <w:color w:val="auto"/>
                <w:highlight w:val="none"/>
                <w:lang w:val="en-US" w:eastAsia="zh-CN"/>
              </w:rPr>
              <w:t>”要求，蜂窝状活性炭吸附单元应满足：①蜂窝活性炭层表观流速宜</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1.2m/s；②吸附装置设计的总压力损失宜</w:t>
            </w:r>
            <w:r>
              <w:rPr>
                <w:rFonts w:hint="default" w:ascii="Calibri" w:hAnsi="Calibri" w:cs="Calibri"/>
                <w:color w:val="auto"/>
                <w:highlight w:val="none"/>
                <w:lang w:val="en-US" w:eastAsia="zh-CN"/>
              </w:rPr>
              <w:t>﹤</w:t>
            </w:r>
            <w:r>
              <w:rPr>
                <w:rFonts w:hint="eastAsia" w:ascii="Times New Roman" w:hAnsi="Times New Roman" w:cs="Times New Roman"/>
                <w:color w:val="auto"/>
                <w:highlight w:val="none"/>
                <w:lang w:val="en-US" w:eastAsia="zh-CN"/>
              </w:rPr>
              <w:t>600Pa；③</w:t>
            </w:r>
            <w:r>
              <w:rPr>
                <w:rFonts w:hint="eastAsia"/>
                <w:color w:val="auto"/>
                <w:highlight w:val="none"/>
                <w:lang w:val="en-US" w:eastAsia="zh-CN"/>
              </w:rPr>
              <w:t>采用一次性活性炭吸附工艺的，应选择碘值</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650mg/g的活性炭；④蜂窝状活性炭的横向强度不应低于0.3MPa，纵向强度不应低于0.8MPa；⑤蜂窝状活性炭填充量与每小时处理废气量体积之比宜</w:t>
            </w:r>
            <w:r>
              <w:rPr>
                <w:rFonts w:hint="default" w:cs="Times New Roman" w:asciiTheme="minorAscii" w:hAnsiTheme="minorAscii"/>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:5000，每1万Nm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/h废气处理蜂窝活性炭吸附截面积宜</w:t>
            </w:r>
            <w:r>
              <w:rPr>
                <w:rFonts w:hint="default" w:cs="Times New Roman" w:asciiTheme="minorAscii" w:hAnsiTheme="minorAscii"/>
                <w:color w:val="auto"/>
                <w:highlight w:val="none"/>
                <w:lang w:val="en-US" w:eastAsia="zh-CN"/>
              </w:rPr>
              <w:t>≮</w:t>
            </w:r>
            <w:r>
              <w:rPr>
                <w:rFonts w:hint="default" w:ascii="Times New Roman" w:hAnsi="Times New Roman" w:cs="Times New Roman"/>
                <w:color w:val="auto"/>
                <w:highlight w:val="none"/>
                <w:lang w:val="en-US" w:eastAsia="zh-CN"/>
              </w:rPr>
              <w:t>2.3m</w:t>
            </w:r>
            <w:r>
              <w:rPr>
                <w:rFonts w:hint="default" w:ascii="Times New Roman" w:hAnsi="Times New Roman" w:cs="Times New Roman"/>
                <w:color w:val="auto"/>
                <w:highlight w:val="none"/>
                <w:vertAlign w:val="superscript"/>
                <w:lang w:val="en-US" w:eastAsia="zh-CN"/>
              </w:rPr>
              <w:t>2</w:t>
            </w:r>
            <w:r>
              <w:rPr>
                <w:rFonts w:hint="eastAsia" w:cs="Times New Roman"/>
                <w:color w:val="auto"/>
                <w:highlight w:val="none"/>
                <w:vertAlign w:val="baseline"/>
                <w:lang w:val="en-US" w:eastAsia="zh-CN"/>
              </w:rPr>
              <w:t>；⑥活性炭层穿透厚度宜﹥500mm</w:t>
            </w:r>
            <w:r>
              <w:rPr>
                <w:rFonts w:hint="eastAsia" w:cs="Times New Roman"/>
                <w:color w:val="auto"/>
                <w:highlight w:val="none"/>
                <w:lang w:val="en-US" w:eastAsia="zh-CN"/>
              </w:rPr>
              <w:t>。</w:t>
            </w:r>
          </w:p>
          <w:p>
            <w:pPr>
              <w:keepNext w:val="0"/>
              <w:keepLines w:val="0"/>
              <w:suppressLineNumbers w:val="0"/>
              <w:spacing w:before="0" w:beforeAutospacing="0" w:after="0" w:afterAutospacing="0" w:line="480" w:lineRule="exact"/>
              <w:ind w:left="0" w:right="0" w:firstLine="480" w:firstLineChars="200"/>
              <w:rPr>
                <w:rFonts w:hint="default"/>
                <w:color w:val="auto"/>
                <w:highlight w:val="none"/>
              </w:rPr>
            </w:pPr>
            <w:r>
              <w:rPr>
                <w:rFonts w:hint="eastAsia"/>
                <w:color w:val="auto"/>
                <w:highlight w:val="none"/>
              </w:rPr>
              <w:t>本项目</w:t>
            </w:r>
            <w:r>
              <w:rPr>
                <w:rFonts w:hint="eastAsia"/>
                <w:color w:val="auto"/>
                <w:highlight w:val="none"/>
                <w:lang w:val="en-US" w:eastAsia="zh-CN"/>
              </w:rPr>
              <w:t>建成后，</w:t>
            </w:r>
            <w:r>
              <w:rPr>
                <w:rFonts w:hint="eastAsia"/>
                <w:color w:val="auto"/>
                <w:lang w:val="en-US" w:eastAsia="zh-CN"/>
              </w:rPr>
              <w:t>印刷、印刷烘干、覆膜过程产生的废气与烘干及烧结还原废气</w:t>
            </w:r>
            <w:r>
              <w:rPr>
                <w:rFonts w:hint="eastAsia"/>
                <w:color w:val="auto"/>
                <w:highlight w:val="none"/>
                <w:lang w:val="en-US" w:eastAsia="zh-CN"/>
              </w:rPr>
              <w:t>采用两级活性炭吸附装置进行处理，活性炭</w:t>
            </w:r>
            <w:r>
              <w:rPr>
                <w:rFonts w:hint="eastAsia"/>
                <w:color w:val="auto"/>
                <w:highlight w:val="none"/>
              </w:rPr>
              <w:t>材质为蜂窝</w:t>
            </w:r>
            <w:r>
              <w:rPr>
                <w:rFonts w:hint="eastAsia"/>
                <w:color w:val="auto"/>
                <w:highlight w:val="none"/>
                <w:lang w:eastAsia="zh-CN"/>
              </w:rPr>
              <w:t>，</w:t>
            </w:r>
            <w:r>
              <w:rPr>
                <w:rFonts w:hint="eastAsia"/>
                <w:color w:val="auto"/>
                <w:highlight w:val="none"/>
              </w:rPr>
              <w:t>设计活性炭</w:t>
            </w:r>
            <w:r>
              <w:rPr>
                <w:rFonts w:hint="eastAsia"/>
                <w:color w:val="auto"/>
                <w:highlight w:val="none"/>
                <w:lang w:val="en-US" w:eastAsia="zh-CN"/>
              </w:rPr>
              <w:t>碘值</w:t>
            </w:r>
            <w:r>
              <w:rPr>
                <w:rFonts w:hint="default" w:ascii="Times New Roman" w:hAnsi="Times New Roman" w:cs="Times New Roman"/>
                <w:color w:val="auto"/>
                <w:highlight w:val="none"/>
                <w:lang w:val="en-US" w:eastAsia="zh-CN"/>
              </w:rPr>
              <w:t>≥</w:t>
            </w:r>
            <w:r>
              <w:rPr>
                <w:rFonts w:hint="eastAsia"/>
                <w:color w:val="auto"/>
                <w:highlight w:val="none"/>
                <w:lang w:val="en-US" w:eastAsia="zh-CN"/>
              </w:rPr>
              <w:t>650mg/g</w:t>
            </w:r>
            <w:r>
              <w:rPr>
                <w:rFonts w:hint="eastAsia"/>
                <w:color w:val="auto"/>
                <w:highlight w:val="none"/>
              </w:rPr>
              <w:t>，</w:t>
            </w:r>
            <w:r>
              <w:rPr>
                <w:rFonts w:hint="eastAsia"/>
                <w:color w:val="auto"/>
                <w:highlight w:val="none"/>
                <w:lang w:val="en-US" w:eastAsia="zh-CN"/>
              </w:rPr>
              <w:t>活性炭层表观流速</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1.2m/s</w:t>
            </w:r>
            <w:r>
              <w:rPr>
                <w:rFonts w:hint="eastAsia"/>
                <w:color w:val="auto"/>
                <w:highlight w:val="none"/>
              </w:rPr>
              <w:t>，</w:t>
            </w:r>
            <w:r>
              <w:rPr>
                <w:rFonts w:hint="eastAsia" w:cs="Times New Roman"/>
                <w:color w:val="auto"/>
                <w:highlight w:val="none"/>
                <w:lang w:val="en-US" w:eastAsia="zh-CN"/>
              </w:rPr>
              <w:t>横向强度不低于0.3MPa，纵向强度不低于0.8MPa，设计的总压力损失</w:t>
            </w:r>
            <w:r>
              <w:rPr>
                <w:rFonts w:hint="default" w:ascii="Calibri" w:hAnsi="Calibri" w:cs="Calibri"/>
                <w:color w:val="auto"/>
                <w:highlight w:val="none"/>
                <w:lang w:val="en-US" w:eastAsia="zh-CN"/>
              </w:rPr>
              <w:t>﹤</w:t>
            </w:r>
            <w:r>
              <w:rPr>
                <w:rFonts w:hint="eastAsia" w:ascii="Times New Roman" w:hAnsi="Times New Roman" w:cs="Times New Roman"/>
                <w:color w:val="auto"/>
                <w:highlight w:val="none"/>
                <w:lang w:val="en-US" w:eastAsia="zh-CN"/>
              </w:rPr>
              <w:t>600Pa，</w:t>
            </w:r>
            <w:r>
              <w:rPr>
                <w:rFonts w:hint="eastAsia" w:cs="Times New Roman"/>
                <w:color w:val="auto"/>
                <w:highlight w:val="none"/>
                <w:vertAlign w:val="baseline"/>
                <w:lang w:val="en-US" w:eastAsia="zh-CN"/>
              </w:rPr>
              <w:t>活性炭层穿透厚度﹥500mm，</w:t>
            </w:r>
            <w:r>
              <w:rPr>
                <w:rFonts w:hint="eastAsia"/>
                <w:color w:val="auto"/>
                <w:highlight w:val="none"/>
              </w:rPr>
              <w:t>设计风量为</w:t>
            </w:r>
            <w:r>
              <w:rPr>
                <w:rFonts w:hint="eastAsia"/>
                <w:color w:val="auto"/>
                <w:highlight w:val="none"/>
                <w:lang w:val="en-US" w:eastAsia="zh-CN"/>
              </w:rPr>
              <w:t>15000</w:t>
            </w:r>
            <w:r>
              <w:rPr>
                <w:rFonts w:hint="default"/>
                <w:color w:val="auto"/>
                <w:highlight w:val="none"/>
              </w:rPr>
              <w:t>m</w:t>
            </w:r>
            <w:r>
              <w:rPr>
                <w:rFonts w:hint="default"/>
                <w:color w:val="auto"/>
                <w:highlight w:val="none"/>
                <w:vertAlign w:val="superscript"/>
              </w:rPr>
              <w:t>3</w:t>
            </w:r>
            <w:r>
              <w:rPr>
                <w:rFonts w:hint="default"/>
                <w:color w:val="auto"/>
                <w:highlight w:val="none"/>
              </w:rPr>
              <w:t>/h</w:t>
            </w:r>
            <w:r>
              <w:rPr>
                <w:rFonts w:hint="eastAsia"/>
                <w:color w:val="auto"/>
                <w:highlight w:val="none"/>
              </w:rPr>
              <w:t>，</w:t>
            </w:r>
            <w:r>
              <w:rPr>
                <w:rFonts w:hint="eastAsia"/>
                <w:color w:val="auto"/>
                <w:highlight w:val="none"/>
                <w:lang w:val="en-US" w:eastAsia="zh-CN"/>
              </w:rPr>
              <w:t>活性炭填装量为6m</w:t>
            </w:r>
            <w:r>
              <w:rPr>
                <w:rFonts w:hint="eastAsia"/>
                <w:color w:val="auto"/>
                <w:highlight w:val="none"/>
                <w:vertAlign w:val="superscript"/>
                <w:lang w:val="en-US" w:eastAsia="zh-CN"/>
              </w:rPr>
              <w:t>3</w:t>
            </w:r>
            <w:r>
              <w:rPr>
                <w:rFonts w:hint="eastAsia"/>
                <w:color w:val="auto"/>
                <w:highlight w:val="none"/>
                <w:vertAlign w:val="baseline"/>
                <w:lang w:val="en-US" w:eastAsia="zh-CN"/>
              </w:rPr>
              <w:t>，约</w:t>
            </w:r>
            <w:r>
              <w:rPr>
                <w:rFonts w:hint="eastAsia"/>
                <w:color w:val="auto"/>
                <w:highlight w:val="none"/>
                <w:lang w:val="en-US" w:eastAsia="zh-CN"/>
              </w:rPr>
              <w:t>3t，对挥发性有机物去除</w:t>
            </w:r>
            <w:r>
              <w:rPr>
                <w:rFonts w:hint="eastAsia"/>
                <w:color w:val="auto"/>
                <w:highlight w:val="none"/>
              </w:rPr>
              <w:t>效率为9</w:t>
            </w:r>
            <w:r>
              <w:rPr>
                <w:rFonts w:hint="eastAsia"/>
                <w:color w:val="auto"/>
                <w:highlight w:val="none"/>
                <w:lang w:val="en-US" w:eastAsia="zh-CN"/>
              </w:rPr>
              <w:t>0</w:t>
            </w:r>
            <w:r>
              <w:rPr>
                <w:rFonts w:hint="eastAsia"/>
                <w:color w:val="auto"/>
                <w:highlight w:val="none"/>
              </w:rPr>
              <w:t>%，</w:t>
            </w:r>
            <w:r>
              <w:rPr>
                <w:rFonts w:hint="eastAsia"/>
                <w:color w:val="auto"/>
                <w:highlight w:val="none"/>
                <w:lang w:val="en-US" w:eastAsia="zh-CN"/>
              </w:rPr>
              <w:t>根据废气源强分析，活性炭吸附挥发性有机物量为0.0473t/a，每两年更换一次活性炭，每次更换量为1.5t（将两级活性炭中的第一级活性炭替换为第二级活性炭，第二级活性炭更换为新的活性炭，可吸附挥发性有机物0.15t，本项目建成后活性炭吸附挥发性有机物量为0.0946t/2a），</w:t>
            </w:r>
            <w:r>
              <w:rPr>
                <w:rFonts w:hint="eastAsia"/>
                <w:color w:val="auto"/>
                <w:highlight w:val="none"/>
              </w:rPr>
              <w:t>能够满足废气处理需求。活性炭吸附装置参数</w:t>
            </w:r>
            <w:r>
              <w:rPr>
                <w:rFonts w:hint="eastAsia"/>
                <w:color w:val="auto"/>
                <w:highlight w:val="none"/>
                <w:lang w:val="en-US" w:eastAsia="zh-CN"/>
              </w:rPr>
              <w:t>见下表</w:t>
            </w:r>
            <w:r>
              <w:rPr>
                <w:rFonts w:hint="eastAsia"/>
                <w:color w:val="auto"/>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rPr>
              <w:t>表</w:t>
            </w:r>
            <w:r>
              <w:rPr>
                <w:rFonts w:hint="eastAsia"/>
                <w:b/>
                <w:bCs/>
                <w:color w:val="auto"/>
                <w:sz w:val="21"/>
                <w:szCs w:val="21"/>
                <w:highlight w:val="none"/>
                <w:lang w:val="en-US" w:eastAsia="zh-CN"/>
              </w:rPr>
              <w:t>30</w:t>
            </w:r>
            <w:r>
              <w:rPr>
                <w:rFonts w:hint="eastAsia"/>
                <w:b/>
                <w:bCs/>
                <w:color w:val="auto"/>
                <w:sz w:val="21"/>
                <w:szCs w:val="21"/>
                <w:highlight w:val="none"/>
              </w:rPr>
              <w:t xml:space="preserve">  活性炭吸附装置技术参数</w:t>
            </w:r>
            <w:r>
              <w:rPr>
                <w:rFonts w:hint="eastAsia"/>
                <w:b/>
                <w:bCs/>
                <w:color w:val="auto"/>
                <w:sz w:val="21"/>
                <w:szCs w:val="21"/>
                <w:highlight w:val="none"/>
                <w:lang w:val="en-US" w:eastAsia="zh-CN"/>
              </w:rPr>
              <w:t>一览表</w:t>
            </w:r>
          </w:p>
          <w:tbl>
            <w:tblPr>
              <w:tblStyle w:val="25"/>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036"/>
              <w:gridCol w:w="2727"/>
              <w:gridCol w:w="2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序号</w:t>
                  </w: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项目</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单位</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风机</w:t>
                  </w:r>
                  <w:r>
                    <w:rPr>
                      <w:rFonts w:hint="default"/>
                      <w:color w:val="auto"/>
                      <w:sz w:val="21"/>
                      <w:szCs w:val="21"/>
                      <w:highlight w:val="none"/>
                    </w:rPr>
                    <w:t>风量</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/h</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处理</w:t>
                  </w:r>
                  <w:r>
                    <w:rPr>
                      <w:rFonts w:hint="default"/>
                      <w:color w:val="auto"/>
                      <w:sz w:val="21"/>
                      <w:szCs w:val="21"/>
                      <w:highlight w:val="none"/>
                    </w:rPr>
                    <w:t>效率</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eastAsia" w:cs="Times New Roman"/>
                      <w:color w:val="auto"/>
                      <w:sz w:val="21"/>
                      <w:szCs w:val="21"/>
                      <w:highlight w:val="non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碘值</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rPr>
                    <w:t>m</w:t>
                  </w:r>
                  <w:r>
                    <w:rPr>
                      <w:rFonts w:hint="eastAsia"/>
                      <w:color w:val="auto"/>
                      <w:sz w:val="21"/>
                      <w:szCs w:val="21"/>
                      <w:highlight w:val="none"/>
                      <w:vertAlign w:val="baseline"/>
                      <w:lang w:val="en-US" w:eastAsia="zh-CN"/>
                    </w:rPr>
                    <w:t>g</w:t>
                  </w:r>
                  <w:r>
                    <w:rPr>
                      <w:rFonts w:hint="eastAsia"/>
                      <w:color w:val="auto"/>
                      <w:sz w:val="21"/>
                      <w:szCs w:val="21"/>
                      <w:highlight w:val="none"/>
                      <w:lang w:val="en-US" w:eastAsia="zh-CN"/>
                    </w:rPr>
                    <w:t>/g</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lang w:val="en-US" w:eastAsia="zh-CN"/>
                    </w:rPr>
                  </w:pPr>
                  <w:r>
                    <w:rPr>
                      <w:rFonts w:hint="default" w:ascii="Times New Roman" w:hAnsi="Times New Roman" w:cs="Times New Roman"/>
                      <w:color w:val="auto"/>
                      <w:highlight w:val="none"/>
                      <w:lang w:val="en-US" w:eastAsia="zh-CN"/>
                    </w:rPr>
                    <w:t>≥</w:t>
                  </w:r>
                  <w:r>
                    <w:rPr>
                      <w:rFonts w:hint="eastAsia"/>
                      <w:color w:val="auto"/>
                      <w:sz w:val="21"/>
                      <w:szCs w:val="21"/>
                      <w:highlight w:val="none"/>
                      <w:lang w:val="en-US" w:eastAsia="zh-CN"/>
                    </w:rPr>
                    <w:t>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吸附材料</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蜂窝活性炭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活性炭层表观流速</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s="Times New Roman"/>
                      <w:color w:val="auto"/>
                      <w:highlight w:val="none"/>
                      <w:lang w:val="en-US" w:eastAsia="zh-CN"/>
                    </w:rPr>
                    <w:t>m/s</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横向强度</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MPa</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cs="Times New Roman"/>
                      <w:color w:val="auto"/>
                      <w:highlight w:val="none"/>
                      <w:lang w:val="en-US" w:eastAsia="zh-CN"/>
                    </w:rPr>
                    <w:t>≥</w:t>
                  </w:r>
                  <w:r>
                    <w:rPr>
                      <w:rFonts w:hint="eastAsia"/>
                      <w:color w:val="auto"/>
                      <w:sz w:val="21"/>
                      <w:szCs w:val="21"/>
                      <w:highlight w:val="no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纵向强度</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MPa</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default" w:ascii="Times New Roman" w:hAnsi="Times New Roman" w:cs="Times New Roman"/>
                      <w:color w:val="auto"/>
                      <w:highlight w:val="none"/>
                      <w:lang w:val="en-US" w:eastAsia="zh-CN"/>
                    </w:rPr>
                    <w:t>≥</w:t>
                  </w:r>
                  <w:r>
                    <w:rPr>
                      <w:rFonts w:hint="eastAsia"/>
                      <w:color w:val="auto"/>
                      <w:sz w:val="21"/>
                      <w:szCs w:val="21"/>
                      <w:highlight w:val="no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总压力损失</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Pa</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13" w:type="dxa"/>
                  <w:tcBorders>
                    <w:tl2br w:val="nil"/>
                    <w:tr2bl w:val="nil"/>
                  </w:tcBorders>
                  <w:noWrap w:val="0"/>
                  <w:vAlign w:val="center"/>
                </w:tcPr>
                <w:p>
                  <w:pPr>
                    <w:keepNext w:val="0"/>
                    <w:keepLines w:val="0"/>
                    <w:pageBreakBefore w:val="0"/>
                    <w:widowControl w:val="0"/>
                    <w:numPr>
                      <w:ilvl w:val="0"/>
                      <w:numId w:val="28"/>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rPr>
                  </w:pPr>
                </w:p>
              </w:tc>
              <w:tc>
                <w:tcPr>
                  <w:tcW w:w="21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活性炭层穿透厚度</w:t>
                  </w:r>
                </w:p>
              </w:tc>
              <w:tc>
                <w:tcPr>
                  <w:tcW w:w="28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mm</w:t>
                  </w:r>
                </w:p>
              </w:tc>
              <w:tc>
                <w:tcPr>
                  <w:tcW w:w="24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﹥500</w:t>
                  </w:r>
                </w:p>
              </w:tc>
            </w:tr>
          </w:tbl>
          <w:p>
            <w:pPr>
              <w:bidi w:val="0"/>
              <w:rPr>
                <w:rFonts w:hint="default"/>
                <w:color w:val="auto"/>
                <w:highlight w:val="none"/>
                <w:lang w:val="en-US" w:eastAsia="zh-CN"/>
              </w:rPr>
            </w:pPr>
            <w:r>
              <w:rPr>
                <w:rFonts w:hint="eastAsia"/>
                <w:color w:val="auto"/>
                <w:highlight w:val="none"/>
                <w:lang w:val="en-US" w:eastAsia="zh-CN"/>
              </w:rPr>
              <w:t>本项目风机风量设置合理性分析如下：</w:t>
            </w:r>
          </w:p>
          <w:p>
            <w:pPr>
              <w:bidi w:val="0"/>
              <w:rPr>
                <w:rFonts w:hint="default"/>
                <w:color w:val="auto"/>
                <w:highlight w:val="none"/>
                <w:lang w:val="en-US" w:eastAsia="zh-CN"/>
              </w:rPr>
            </w:pPr>
            <w:r>
              <w:rPr>
                <w:rFonts w:hint="eastAsia"/>
                <w:color w:val="auto"/>
                <w:highlight w:val="none"/>
                <w:lang w:val="en-US" w:eastAsia="zh-CN"/>
              </w:rPr>
              <w:t>集气罩风量计算公式为：</w:t>
            </w:r>
          </w:p>
          <w:p>
            <w:pPr>
              <w:bidi w:val="0"/>
              <w:jc w:val="center"/>
              <w:rPr>
                <w:rFonts w:hint="eastAsia"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Q＝3600×</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p1</w:t>
            </w:r>
            <w:r>
              <w:rPr>
                <w:rFonts w:hint="eastAsia" w:ascii="Times New Roman" w:hAnsi="Times New Roman" w:eastAsia="宋体" w:cs="Times New Roman"/>
                <w:color w:val="auto"/>
                <w:sz w:val="24"/>
                <w:szCs w:val="24"/>
                <w:highlight w:val="none"/>
                <w:vertAlign w:val="baseline"/>
                <w:lang w:val="en-US" w:eastAsia="zh-CN"/>
              </w:rPr>
              <w:t>........................................................公式（</w:t>
            </w:r>
            <w:r>
              <w:rPr>
                <w:rFonts w:hint="eastAsia" w:cs="Times New Roman"/>
                <w:color w:val="auto"/>
                <w:sz w:val="24"/>
                <w:szCs w:val="24"/>
                <w:highlight w:val="none"/>
                <w:vertAlign w:val="baseline"/>
                <w:lang w:val="en-US" w:eastAsia="zh-CN"/>
              </w:rPr>
              <w:t>1</w:t>
            </w:r>
            <w:r>
              <w:rPr>
                <w:rFonts w:hint="eastAsia" w:ascii="Times New Roman" w:hAnsi="Times New Roman" w:eastAsia="宋体" w:cs="Times New Roman"/>
                <w:color w:val="auto"/>
                <w:sz w:val="24"/>
                <w:szCs w:val="24"/>
                <w:highlight w:val="none"/>
                <w:vertAlign w:val="baseline"/>
                <w:lang w:val="en-US" w:eastAsia="zh-CN"/>
              </w:rPr>
              <w:t>）</w:t>
            </w:r>
          </w:p>
          <w:p>
            <w:pPr>
              <w:bidi w:val="0"/>
              <w:rPr>
                <w:rFonts w:hint="default"/>
                <w:color w:val="auto"/>
                <w:highlight w:val="none"/>
                <w:lang w:val="en-US" w:eastAsia="zh-CN"/>
              </w:rPr>
            </w:pPr>
            <w:r>
              <w:rPr>
                <w:rFonts w:hint="default"/>
                <w:color w:val="auto"/>
                <w:highlight w:val="none"/>
                <w:lang w:val="en-US" w:eastAsia="zh-CN"/>
              </w:rPr>
              <w:t>式中：</w:t>
            </w:r>
          </w:p>
          <w:p>
            <w:pPr>
              <w:keepNext w:val="0"/>
              <w:keepLines w:val="0"/>
              <w:pageBreakBefore w:val="0"/>
              <w:widowControl w:val="0"/>
              <w:kinsoku/>
              <w:wordWrap/>
              <w:overflowPunct/>
              <w:topLinePunct w:val="0"/>
              <w:autoSpaceDE/>
              <w:autoSpaceDN/>
              <w:bidi w:val="0"/>
              <w:adjustRightInd/>
              <w:snapToGrid/>
              <w:ind w:firstLine="960" w:firstLineChars="4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pPr>
              <w:keepNext w:val="0"/>
              <w:keepLines w:val="0"/>
              <w:pageBreakBefore w:val="0"/>
              <w:widowControl w:val="0"/>
              <w:kinsoku/>
              <w:wordWrap/>
              <w:overflowPunct/>
              <w:topLinePunct w:val="0"/>
              <w:autoSpaceDE/>
              <w:autoSpaceDN/>
              <w:bidi w:val="0"/>
              <w:adjustRightInd/>
              <w:snapToGrid/>
              <w:ind w:firstLine="960" w:firstLineChars="400"/>
              <w:textAlignment w:val="auto"/>
              <w:rPr>
                <w:rFonts w:hint="default"/>
                <w:color w:val="auto"/>
                <w:highlight w:val="none"/>
                <w:lang w:val="en-US" w:eastAsia="zh-CN"/>
              </w:rPr>
            </w:pPr>
            <w:r>
              <w:rPr>
                <w:rFonts w:hint="eastAsia"/>
                <w:color w:val="auto"/>
                <w:highlight w:val="none"/>
                <w:lang w:val="en-US" w:eastAsia="zh-CN"/>
              </w:rPr>
              <w:t>A：罩口面积；</w:t>
            </w:r>
          </w:p>
          <w:p>
            <w:pPr>
              <w:keepNext w:val="0"/>
              <w:keepLines w:val="0"/>
              <w:pageBreakBefore w:val="0"/>
              <w:widowControl w:val="0"/>
              <w:kinsoku/>
              <w:wordWrap/>
              <w:overflowPunct/>
              <w:topLinePunct w:val="0"/>
              <w:autoSpaceDE/>
              <w:autoSpaceDN/>
              <w:bidi w:val="0"/>
              <w:adjustRightInd/>
              <w:snapToGrid/>
              <w:ind w:firstLine="960" w:firstLineChars="400"/>
              <w:textAlignment w:val="auto"/>
              <w:rPr>
                <w:rFonts w:hint="default"/>
                <w:color w:val="auto"/>
                <w:highlight w:val="none"/>
                <w:lang w:val="en-US" w:eastAsia="zh-CN"/>
              </w:rPr>
            </w:pPr>
            <w:r>
              <w:rPr>
                <w:rFonts w:hint="eastAsia"/>
                <w:color w:val="auto"/>
                <w:highlight w:val="none"/>
                <w:lang w:val="en-US" w:eastAsia="zh-CN"/>
              </w:rPr>
              <w:t>V</w:t>
            </w:r>
            <w:r>
              <w:rPr>
                <w:rFonts w:hint="eastAsia"/>
                <w:color w:val="auto"/>
                <w:highlight w:val="none"/>
                <w:vertAlign w:val="subscript"/>
                <w:lang w:val="en-US" w:eastAsia="zh-CN"/>
              </w:rPr>
              <w:t>p1</w:t>
            </w:r>
            <w:r>
              <w:rPr>
                <w:rFonts w:hint="eastAsia"/>
                <w:color w:val="auto"/>
                <w:highlight w:val="none"/>
                <w:lang w:val="en-US" w:eastAsia="zh-CN"/>
              </w:rPr>
              <w:t>：罩口平均风速，m/s。</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olor w:val="auto"/>
                <w:sz w:val="24"/>
                <w:highlight w:val="none"/>
                <w:shd w:val="solid" w:color="FFFFFF" w:fill="auto"/>
                <w:lang w:val="en-US" w:eastAsia="zh-CN"/>
              </w:rPr>
            </w:pPr>
            <w:r>
              <w:rPr>
                <w:rFonts w:hint="eastAsia"/>
                <w:b w:val="0"/>
                <w:bCs w:val="0"/>
                <w:color w:val="auto"/>
                <w:highlight w:val="none"/>
                <w:lang w:val="en-US" w:eastAsia="zh-CN"/>
              </w:rPr>
              <w:t>根据</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w:t>
            </w:r>
            <w:r>
              <w:rPr>
                <w:rFonts w:hint="eastAsia" w:ascii="宋体" w:hAnsi="宋体" w:eastAsia="宋体" w:cs="宋体"/>
                <w:b w:val="0"/>
                <w:bCs w:val="0"/>
                <w:color w:val="auto"/>
                <w:highlight w:val="none"/>
                <w:lang w:val="en-US" w:eastAsia="zh-CN"/>
              </w:rPr>
              <w:t>“</w:t>
            </w:r>
            <w:r>
              <w:rPr>
                <w:rFonts w:hint="default"/>
                <w:b w:val="0"/>
                <w:bCs w:val="0"/>
                <w:color w:val="auto"/>
                <w:highlight w:val="none"/>
                <w:lang w:val="en-US" w:eastAsia="zh-CN"/>
              </w:rPr>
              <w:t>工业涂装生产线采用整体密闭的，密闭区域内换风次数原则上不少于20次/h，车间采用整体密闭的（如烘干、晾干车间、流平车间等），车间换风次数原则上不少于8次/h</w:t>
            </w:r>
            <w:r>
              <w:rPr>
                <w:rFonts w:hint="eastAsia"/>
                <w:b w:val="0"/>
                <w:bCs w:val="0"/>
                <w:color w:val="auto"/>
                <w:highlight w:val="none"/>
                <w:lang w:val="en-US" w:eastAsia="zh-CN"/>
              </w:rPr>
              <w:t>。</w:t>
            </w:r>
            <w:r>
              <w:rPr>
                <w:rFonts w:hint="eastAsia" w:ascii="宋体" w:hAnsi="宋体" w:eastAsia="宋体" w:cs="宋体"/>
                <w:b w:val="0"/>
                <w:bCs w:val="0"/>
                <w:color w:val="auto"/>
                <w:highlight w:val="none"/>
                <w:lang w:val="en-US" w:eastAsia="zh-CN"/>
              </w:rPr>
              <w:t>”</w:t>
            </w: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024" w:type="dxa"/>
            <w:tcBorders>
              <w:tl2br w:val="nil"/>
              <w:tr2bl w:val="nil"/>
            </w:tcBorders>
          </w:tcPr>
          <w:p>
            <w:pPr>
              <w:rPr>
                <w:color w:val="auto"/>
                <w:highlight w:val="none"/>
                <w:vertAlign w:val="baseline"/>
              </w:rPr>
            </w:pPr>
          </w:p>
        </w:tc>
        <w:tc>
          <w:tcPr>
            <w:tcW w:w="13150" w:type="dxa"/>
            <w:tcBorders>
              <w:tl2br w:val="nil"/>
              <w:tr2bl w:val="nil"/>
            </w:tcBorders>
          </w:tcPr>
          <w:p>
            <w:pPr>
              <w:pStyle w:val="31"/>
              <w:bidi w:val="0"/>
              <w:rPr>
                <w:rFonts w:hint="eastAsia"/>
                <w:color w:val="auto"/>
                <w:highlight w:val="none"/>
                <w:lang w:val="en-US" w:eastAsia="zh-CN"/>
              </w:rPr>
            </w:pPr>
            <w:r>
              <w:rPr>
                <w:rFonts w:hint="eastAsia"/>
                <w:color w:val="auto"/>
                <w:highlight w:val="none"/>
                <w:lang w:val="en-US" w:eastAsia="zh-CN"/>
              </w:rPr>
              <w:t>表31  风机风量设置情况一览表</w:t>
            </w:r>
          </w:p>
          <w:tbl>
            <w:tblPr>
              <w:tblStyle w:val="25"/>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123"/>
              <w:gridCol w:w="798"/>
              <w:gridCol w:w="2416"/>
              <w:gridCol w:w="1635"/>
              <w:gridCol w:w="1649"/>
              <w:gridCol w:w="1294"/>
              <w:gridCol w:w="1302"/>
              <w:gridCol w:w="975"/>
              <w:gridCol w:w="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014" w:type="dxa"/>
                  <w:gridSpan w:val="2"/>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产污环节</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数量</w:t>
                  </w:r>
                </w:p>
              </w:tc>
              <w:tc>
                <w:tcPr>
                  <w:tcW w:w="4051" w:type="dxa"/>
                  <w:gridSpan w:val="2"/>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废气收集措施</w:t>
                  </w:r>
                </w:p>
              </w:tc>
              <w:tc>
                <w:tcPr>
                  <w:tcW w:w="5220" w:type="dxa"/>
                  <w:gridSpan w:val="4"/>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废气量</w:t>
                  </w:r>
                </w:p>
              </w:tc>
              <w:tc>
                <w:tcPr>
                  <w:tcW w:w="95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风机风量（</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14" w:type="dxa"/>
                  <w:gridSpan w:val="2"/>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4051" w:type="dxa"/>
                  <w:gridSpan w:val="2"/>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943" w:type="dxa"/>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依据</w:t>
                  </w:r>
                </w:p>
              </w:tc>
              <w:tc>
                <w:tcPr>
                  <w:tcW w:w="2277" w:type="dxa"/>
                  <w:gridSpan w:val="2"/>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废气量（</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val="en-US" w:eastAsia="zh-CN"/>
                    </w:rPr>
                    <w:t>）</w:t>
                  </w: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91"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印刷、印刷烘干、覆膜过程</w:t>
                  </w:r>
                </w:p>
              </w:tc>
              <w:tc>
                <w:tcPr>
                  <w:tcW w:w="1123"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覆膜印刷机</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41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烘</w:t>
                  </w:r>
                  <w:r>
                    <w:rPr>
                      <w:rFonts w:hint="default" w:ascii="Times New Roman" w:hAnsi="Times New Roman" w:eastAsia="宋体" w:cs="Times New Roman"/>
                      <w:color w:val="auto"/>
                      <w:kern w:val="2"/>
                      <w:sz w:val="21"/>
                      <w:szCs w:val="21"/>
                      <w:highlight w:val="none"/>
                      <w:lang w:val="en-US" w:eastAsia="zh-CN" w:bidi="ar-SA"/>
                    </w:rPr>
                    <w:t>干和烧结还原过程</w:t>
                  </w:r>
                  <w:r>
                    <w:rPr>
                      <w:rFonts w:hint="eastAsia" w:cs="Times New Roman"/>
                      <w:color w:val="auto"/>
                      <w:kern w:val="2"/>
                      <w:sz w:val="21"/>
                      <w:szCs w:val="21"/>
                      <w:highlight w:val="none"/>
                      <w:lang w:val="en-US" w:eastAsia="zh-CN" w:bidi="ar-SA"/>
                    </w:rPr>
                    <w:t>设备密闭</w:t>
                  </w:r>
                  <w:r>
                    <w:rPr>
                      <w:rFonts w:hint="default" w:ascii="Times New Roman" w:hAnsi="Times New Roman" w:eastAsia="宋体" w:cs="Times New Roman"/>
                      <w:color w:val="auto"/>
                      <w:kern w:val="2"/>
                      <w:sz w:val="21"/>
                      <w:szCs w:val="21"/>
                      <w:highlight w:val="none"/>
                      <w:lang w:val="en-US" w:eastAsia="zh-CN" w:bidi="ar-SA"/>
                    </w:rPr>
                    <w:t>，在各烘干</w:t>
                  </w:r>
                  <w:r>
                    <w:rPr>
                      <w:rFonts w:hint="eastAsia" w:cs="Times New Roman"/>
                      <w:color w:val="auto"/>
                      <w:kern w:val="2"/>
                      <w:sz w:val="21"/>
                      <w:szCs w:val="21"/>
                      <w:highlight w:val="none"/>
                      <w:lang w:val="en-US" w:eastAsia="zh-CN" w:bidi="ar-SA"/>
                    </w:rPr>
                    <w:t>炉</w:t>
                  </w:r>
                  <w:r>
                    <w:rPr>
                      <w:rFonts w:hint="default" w:ascii="Times New Roman" w:hAnsi="Times New Roman" w:eastAsia="宋体" w:cs="Times New Roman"/>
                      <w:color w:val="auto"/>
                      <w:kern w:val="2"/>
                      <w:sz w:val="21"/>
                      <w:szCs w:val="21"/>
                      <w:highlight w:val="none"/>
                      <w:lang w:val="en-US" w:eastAsia="zh-CN" w:bidi="ar-SA"/>
                    </w:rPr>
                    <w:t>和烧熔炉的出口上方设置集气罩</w:t>
                  </w:r>
                  <w:r>
                    <w:rPr>
                      <w:rFonts w:hint="eastAsia" w:cs="Times New Roman"/>
                      <w:color w:val="auto"/>
                      <w:kern w:val="2"/>
                      <w:sz w:val="21"/>
                      <w:szCs w:val="21"/>
                      <w:highlight w:val="none"/>
                      <w:lang w:val="en-US" w:eastAsia="zh-CN" w:bidi="ar-SA"/>
                    </w:rPr>
                    <w:t>；覆膜印刷机、覆膜烘干机封闭，在设备上方设置集气管道；自动覆膜机上方设置集气罩，采用</w:t>
                  </w:r>
                  <w:r>
                    <w:rPr>
                      <w:rFonts w:hint="default" w:ascii="Times New Roman" w:hAnsi="Times New Roman" w:eastAsia="宋体" w:cs="Times New Roman"/>
                      <w:color w:val="auto"/>
                      <w:kern w:val="2"/>
                      <w:sz w:val="21"/>
                      <w:szCs w:val="21"/>
                      <w:highlight w:val="none"/>
                      <w:lang w:val="en-US" w:eastAsia="zh-CN" w:bidi="ar-SA"/>
                    </w:rPr>
                    <w:t>风机将</w:t>
                  </w:r>
                  <w:r>
                    <w:rPr>
                      <w:rFonts w:hint="eastAsia" w:cs="Times New Roman"/>
                      <w:color w:val="auto"/>
                      <w:kern w:val="2"/>
                      <w:sz w:val="21"/>
                      <w:szCs w:val="21"/>
                      <w:highlight w:val="none"/>
                      <w:lang w:val="en-US" w:eastAsia="zh-CN" w:bidi="ar-SA"/>
                    </w:rPr>
                    <w:t>印刷、印刷烘干、覆膜、烘干及烧结还原过程产生的废气</w:t>
                  </w:r>
                  <w:r>
                    <w:rPr>
                      <w:rFonts w:hint="default" w:ascii="Times New Roman" w:hAnsi="Times New Roman" w:eastAsia="宋体" w:cs="Times New Roman"/>
                      <w:color w:val="auto"/>
                      <w:kern w:val="2"/>
                      <w:sz w:val="21"/>
                      <w:szCs w:val="21"/>
                      <w:highlight w:val="none"/>
                      <w:lang w:val="en-US" w:eastAsia="zh-CN" w:bidi="ar-SA"/>
                    </w:rPr>
                    <w:t>引入1套</w:t>
                  </w:r>
                  <w:r>
                    <w:rPr>
                      <w:rFonts w:hint="eastAsia" w:cs="Times New Roman"/>
                      <w:color w:val="auto"/>
                      <w:kern w:val="2"/>
                      <w:sz w:val="21"/>
                      <w:szCs w:val="21"/>
                      <w:highlight w:val="none"/>
                      <w:lang w:val="en-US" w:eastAsia="zh-CN" w:bidi="ar-SA"/>
                    </w:rPr>
                    <w:t>两级</w:t>
                  </w:r>
                  <w:r>
                    <w:rPr>
                      <w:rFonts w:hint="default" w:ascii="Times New Roman" w:hAnsi="Times New Roman" w:eastAsia="宋体" w:cs="Times New Roman"/>
                      <w:color w:val="auto"/>
                      <w:kern w:val="2"/>
                      <w:sz w:val="21"/>
                      <w:szCs w:val="21"/>
                      <w:highlight w:val="none"/>
                      <w:lang w:val="en-US" w:eastAsia="zh-CN" w:bidi="ar-SA"/>
                    </w:rPr>
                    <w:t>活性炭吸附装置</w:t>
                  </w:r>
                  <w:r>
                    <w:rPr>
                      <w:rFonts w:hint="eastAsia" w:cs="Times New Roman"/>
                      <w:color w:val="auto"/>
                      <w:kern w:val="2"/>
                      <w:sz w:val="21"/>
                      <w:szCs w:val="21"/>
                      <w:highlight w:val="none"/>
                      <w:lang w:val="en-US" w:eastAsia="zh-CN" w:bidi="ar-SA"/>
                    </w:rPr>
                    <w:t>（TA002）</w:t>
                  </w:r>
                  <w:r>
                    <w:rPr>
                      <w:rFonts w:hint="default" w:ascii="Times New Roman" w:hAnsi="Times New Roman" w:eastAsia="宋体" w:cs="Times New Roman"/>
                      <w:color w:val="auto"/>
                      <w:kern w:val="2"/>
                      <w:sz w:val="21"/>
                      <w:szCs w:val="21"/>
                      <w:highlight w:val="none"/>
                      <w:lang w:val="en-US" w:eastAsia="zh-CN" w:bidi="ar-SA"/>
                    </w:rPr>
                    <w:t>进行净化处理</w:t>
                  </w:r>
                </w:p>
              </w:tc>
              <w:tc>
                <w:tcPr>
                  <w:tcW w:w="163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封闭区域尺寸：3.4m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1.3m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1.2m</w:t>
                  </w:r>
                </w:p>
              </w:tc>
              <w:tc>
                <w:tcPr>
                  <w:tcW w:w="1649"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参照</w:t>
                  </w:r>
                  <w:r>
                    <w:rPr>
                      <w:rFonts w:hint="default"/>
                      <w:b w:val="0"/>
                      <w:bCs w:val="0"/>
                      <w:color w:val="auto"/>
                      <w:highlight w:val="none"/>
                      <w:lang w:val="en-US" w:eastAsia="zh-CN"/>
                    </w:rPr>
                    <w:t>《唐山市2021年挥发性有机物综合治理工作方案》</w:t>
                  </w:r>
                  <w:r>
                    <w:rPr>
                      <w:rFonts w:hint="eastAsia"/>
                      <w:b w:val="0"/>
                      <w:bCs w:val="0"/>
                      <w:color w:val="auto"/>
                      <w:highlight w:val="none"/>
                      <w:lang w:val="en-US" w:eastAsia="zh-CN"/>
                    </w:rPr>
                    <w:t>，换气次数按60次计</w:t>
                  </w: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长：3.4m</w:t>
                  </w:r>
                </w:p>
              </w:tc>
              <w:tc>
                <w:tcPr>
                  <w:tcW w:w="1302"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318</w:t>
                  </w:r>
                </w:p>
              </w:tc>
              <w:tc>
                <w:tcPr>
                  <w:tcW w:w="97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12539</w:t>
                  </w:r>
                </w:p>
              </w:tc>
              <w:tc>
                <w:tcPr>
                  <w:tcW w:w="956"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宽：1.3m</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高：1.2m</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23"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覆膜烘干机</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封闭区域尺寸：1.6m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1.3m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1m</w:t>
                  </w: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长：1.6m</w:t>
                  </w:r>
                </w:p>
              </w:tc>
              <w:tc>
                <w:tcPr>
                  <w:tcW w:w="1302"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125</w:t>
                  </w: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宽：1.3m</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高：1m</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23"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自动覆膜机</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设置1个1.5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0.4m集气罩</w:t>
                  </w:r>
                </w:p>
              </w:tc>
              <w:tc>
                <w:tcPr>
                  <w:tcW w:w="1649"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公式（1）</w:t>
                  </w: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A：0.6m</w:t>
                  </w:r>
                </w:p>
              </w:tc>
              <w:tc>
                <w:tcPr>
                  <w:tcW w:w="1302"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2160</w:t>
                  </w: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w:t>
                  </w:r>
                  <w:r>
                    <w:rPr>
                      <w:rFonts w:hint="eastAsia" w:ascii="Times New Roman" w:hAnsi="Times New Roman" w:eastAsia="宋体" w:cs="Times New Roman"/>
                      <w:color w:val="auto"/>
                      <w:sz w:val="21"/>
                      <w:szCs w:val="21"/>
                      <w:highlight w:val="none"/>
                      <w:vertAlign w:val="subscript"/>
                      <w:lang w:val="en-US" w:eastAsia="zh-CN"/>
                    </w:rPr>
                    <w:t>p1</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1m/s</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91"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烘干及烧结还原过程</w:t>
                  </w:r>
                </w:p>
              </w:tc>
              <w:tc>
                <w:tcPr>
                  <w:tcW w:w="1123"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烘干炉</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各设置1个1.2</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0.4m集气罩</w:t>
                  </w:r>
                </w:p>
              </w:tc>
              <w:tc>
                <w:tcPr>
                  <w:tcW w:w="1649"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公式（1）</w:t>
                  </w: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A：0.48m</w:t>
                  </w:r>
                </w:p>
              </w:tc>
              <w:tc>
                <w:tcPr>
                  <w:tcW w:w="1302"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1728</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2=3456</w:t>
                  </w: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w:t>
                  </w:r>
                  <w:r>
                    <w:rPr>
                      <w:rFonts w:hint="eastAsia" w:ascii="Times New Roman" w:hAnsi="Times New Roman" w:eastAsia="宋体" w:cs="Times New Roman"/>
                      <w:color w:val="auto"/>
                      <w:sz w:val="21"/>
                      <w:szCs w:val="21"/>
                      <w:highlight w:val="none"/>
                      <w:vertAlign w:val="subscript"/>
                      <w:lang w:val="en-US" w:eastAsia="zh-CN"/>
                    </w:rPr>
                    <w:t>p1</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1m/s</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123"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烧熔炉</w:t>
                  </w:r>
                </w:p>
              </w:tc>
              <w:tc>
                <w:tcPr>
                  <w:tcW w:w="798"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1635"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各设置1个1.5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0.4m集气罩</w:t>
                  </w:r>
                </w:p>
              </w:tc>
              <w:tc>
                <w:tcPr>
                  <w:tcW w:w="1649"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公式（1）</w:t>
                  </w: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A：0.6m</w:t>
                  </w:r>
                </w:p>
              </w:tc>
              <w:tc>
                <w:tcPr>
                  <w:tcW w:w="1302" w:type="dxa"/>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2160</w:t>
                  </w:r>
                  <w:r>
                    <w:rPr>
                      <w:rFonts w:hint="default"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3=6480</w:t>
                  </w: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default"/>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91"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123"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798"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241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3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649"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color w:val="auto"/>
                    </w:rPr>
                  </w:pPr>
                </w:p>
              </w:tc>
              <w:tc>
                <w:tcPr>
                  <w:tcW w:w="1294" w:type="dxa"/>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V</w:t>
                  </w:r>
                  <w:r>
                    <w:rPr>
                      <w:rFonts w:hint="eastAsia" w:ascii="Times New Roman" w:hAnsi="Times New Roman" w:eastAsia="宋体" w:cs="Times New Roman"/>
                      <w:color w:val="auto"/>
                      <w:sz w:val="21"/>
                      <w:szCs w:val="21"/>
                      <w:highlight w:val="none"/>
                      <w:vertAlign w:val="subscript"/>
                      <w:lang w:val="en-US" w:eastAsia="zh-CN"/>
                    </w:rPr>
                    <w:t>p1</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1m/s</w:t>
                  </w:r>
                </w:p>
              </w:tc>
              <w:tc>
                <w:tcPr>
                  <w:tcW w:w="1302"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75"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c>
                <w:tcPr>
                  <w:tcW w:w="956" w:type="dxa"/>
                  <w:vMerge w:val="continue"/>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center"/>
                    <w:textAlignment w:val="auto"/>
                    <w:rPr>
                      <w:rFonts w:hint="eastAsia"/>
                      <w:color w:val="auto"/>
                      <w:sz w:val="21"/>
                      <w:szCs w:val="21"/>
                      <w:highlight w:val="none"/>
                      <w:lang w:val="en-US" w:eastAsia="zh-CN"/>
                    </w:rPr>
                  </w:pPr>
                </w:p>
              </w:tc>
            </w:tr>
          </w:tbl>
          <w:p>
            <w:pPr>
              <w:rPr>
                <w:rFonts w:hint="default" w:eastAsia="宋体"/>
                <w:color w:val="auto"/>
                <w:highlight w:val="none"/>
                <w:vertAlign w:val="baseline"/>
                <w:lang w:val="en-US" w:eastAsia="zh-CN"/>
              </w:rPr>
            </w:pPr>
            <w:r>
              <w:rPr>
                <w:rFonts w:hint="eastAsia"/>
                <w:color w:val="auto"/>
                <w:highlight w:val="none"/>
                <w:vertAlign w:val="baseline"/>
                <w:lang w:val="en-US" w:eastAsia="zh-CN"/>
              </w:rPr>
              <w:t>由上表可知，本项目风机风量设置满足需求。</w:t>
            </w:r>
          </w:p>
          <w:p>
            <w:pPr>
              <w:bidi w:val="0"/>
              <w:rPr>
                <w:rFonts w:hint="default" w:eastAsia="宋体"/>
                <w:b/>
                <w:bCs/>
                <w:color w:val="auto"/>
                <w:highlight w:val="none"/>
                <w:lang w:val="en-US" w:eastAsia="zh-CN"/>
              </w:rPr>
            </w:pPr>
            <w:r>
              <w:rPr>
                <w:rFonts w:hint="eastAsia"/>
                <w:b w:val="0"/>
                <w:bCs w:val="0"/>
                <w:color w:val="auto"/>
                <w:highlight w:val="none"/>
                <w:lang w:val="en-US" w:eastAsia="zh-CN"/>
              </w:rPr>
              <w:t>本项目建成后，</w:t>
            </w:r>
            <w:r>
              <w:rPr>
                <w:rFonts w:hint="eastAsia"/>
                <w:color w:val="auto"/>
                <w:lang w:val="en-US" w:eastAsia="zh-CN"/>
              </w:rPr>
              <w:t>印刷、印刷烘干、覆膜过程产生的废气与烘干及烧结还原废气</w:t>
            </w:r>
            <w:r>
              <w:rPr>
                <w:rFonts w:hint="eastAsia"/>
                <w:color w:val="auto"/>
                <w:highlight w:val="none"/>
                <w:lang w:val="en-US" w:eastAsia="zh-CN"/>
              </w:rPr>
              <w:t>采用两级活性炭吸附装置进行处理，非甲烷总烃可达标排放，治理设施风机风量设置合理，故该治理措施可行。</w:t>
            </w:r>
          </w:p>
          <w:p>
            <w:pPr>
              <w:rPr>
                <w:color w:val="auto"/>
                <w:highlight w:val="none"/>
                <w:vertAlign w:val="baseline"/>
              </w:rPr>
            </w:pPr>
          </w:p>
          <w:p>
            <w:pPr>
              <w:ind w:left="0" w:leftChars="0" w:firstLine="0" w:firstLineChars="0"/>
              <w:rPr>
                <w:color w:val="auto"/>
                <w:highlight w:val="none"/>
                <w:vertAlign w:val="baseline"/>
              </w:rPr>
            </w:pPr>
          </w:p>
        </w:tc>
      </w:tr>
    </w:tbl>
    <w:p>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85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004" w:type="dxa"/>
            <w:tcBorders>
              <w:tl2br w:val="nil"/>
              <w:tr2bl w:val="nil"/>
            </w:tcBorders>
          </w:tcPr>
          <w:p>
            <w:pPr>
              <w:rPr>
                <w:color w:val="auto"/>
                <w:highlight w:val="none"/>
                <w:vertAlign w:val="baseline"/>
              </w:rPr>
            </w:pPr>
          </w:p>
        </w:tc>
        <w:tc>
          <w:tcPr>
            <w:tcW w:w="8454" w:type="dxa"/>
            <w:tcBorders>
              <w:tl2br w:val="nil"/>
              <w:tr2bl w:val="nil"/>
            </w:tcBorders>
          </w:tcPr>
          <w:p>
            <w:pPr>
              <w:keepNext w:val="0"/>
              <w:keepLines w:val="0"/>
              <w:pageBreakBefore w:val="0"/>
              <w:widowControl w:val="0"/>
              <w:kinsoku/>
              <w:wordWrap/>
              <w:overflowPunct/>
              <w:topLinePunct w:val="0"/>
              <w:autoSpaceDE/>
              <w:autoSpaceDN/>
              <w:bidi w:val="0"/>
              <w:adjustRightInd/>
              <w:snapToGrid/>
              <w:textAlignment w:val="auto"/>
              <w:rPr>
                <w:rFonts w:hint="eastAsia"/>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5大气环境评价结论</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val="en-US" w:eastAsia="zh-CN"/>
              </w:rPr>
              <w:t>项目</w:t>
            </w:r>
            <w:r>
              <w:rPr>
                <w:rFonts w:hint="default"/>
                <w:color w:val="auto"/>
                <w:highlight w:val="none"/>
                <w:lang w:val="en-US" w:eastAsia="zh-CN"/>
              </w:rPr>
              <w:t>所在区域环境空气质量属于不达标区</w:t>
            </w:r>
            <w:r>
              <w:rPr>
                <w:rFonts w:hint="eastAsia"/>
                <w:color w:val="auto"/>
                <w:highlight w:val="none"/>
                <w:lang w:val="en-US" w:eastAsia="zh-CN"/>
              </w:rPr>
              <w:t>，区域PM</w:t>
            </w:r>
            <w:r>
              <w:rPr>
                <w:rFonts w:hint="eastAsia"/>
                <w:color w:val="auto"/>
                <w:highlight w:val="none"/>
                <w:vertAlign w:val="subscript"/>
                <w:lang w:val="en-US" w:eastAsia="zh-CN"/>
              </w:rPr>
              <w:t>2.5</w:t>
            </w:r>
            <w:r>
              <w:rPr>
                <w:rFonts w:hint="eastAsia"/>
                <w:color w:val="auto"/>
                <w:highlight w:val="no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存在超标现象</w:t>
            </w:r>
            <w:r>
              <w:rPr>
                <w:rFonts w:hint="default"/>
                <w:color w:val="auto"/>
                <w:highlight w:val="none"/>
                <w:lang w:val="en-US" w:eastAsia="zh-CN"/>
              </w:rPr>
              <w:t>。</w:t>
            </w:r>
            <w:r>
              <w:rPr>
                <w:rFonts w:hint="default"/>
                <w:color w:val="auto"/>
                <w:highlight w:val="none"/>
              </w:rPr>
              <w:t>其他污染物非甲烷总烃</w:t>
            </w:r>
            <w:r>
              <w:rPr>
                <w:rFonts w:hint="eastAsia"/>
                <w:color w:val="auto"/>
                <w:highlight w:val="none"/>
                <w:lang w:val="en-US" w:eastAsia="zh-CN"/>
              </w:rPr>
              <w:t>1</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浓度满足《环境空气质量 非甲烷总烃</w:t>
            </w:r>
            <w:r>
              <w:rPr>
                <w:rFonts w:hint="eastAsia"/>
                <w:color w:val="auto"/>
                <w:highlight w:val="none"/>
                <w:lang w:val="en-US" w:eastAsia="zh-CN"/>
              </w:rPr>
              <w:t>限值</w:t>
            </w:r>
            <w:r>
              <w:rPr>
                <w:rFonts w:hint="default"/>
                <w:color w:val="auto"/>
                <w:highlight w:val="none"/>
              </w:rPr>
              <w:t>》（DB13/1577-2012）</w:t>
            </w:r>
            <w:r>
              <w:rPr>
                <w:rFonts w:hint="eastAsia"/>
                <w:color w:val="auto"/>
                <w:highlight w:val="none"/>
                <w:lang w:val="en-US" w:eastAsia="zh-CN"/>
              </w:rPr>
              <w:t>限值的要求</w:t>
            </w:r>
            <w:r>
              <w:rPr>
                <w:rFonts w:hint="default"/>
                <w:color w:val="auto"/>
                <w:highlight w:val="none"/>
              </w:rPr>
              <w:t>。</w:t>
            </w:r>
            <w:r>
              <w:rPr>
                <w:rFonts w:hint="eastAsia"/>
                <w:color w:val="auto"/>
                <w:lang w:val="en-US" w:eastAsia="zh-CN"/>
              </w:rPr>
              <w:t>本项目新增印刷、印刷烘干、覆膜过程产生的废气与现有石墨烯电发热体生产线烘干及烧结还原废气一起进入两级活性炭吸附装置进行处理，处理后与经三级碱液喷淋塔处理的镀膜废气一起通过排气筒有组织排放</w:t>
            </w:r>
            <w:r>
              <w:rPr>
                <w:rFonts w:hint="eastAsia"/>
                <w:color w:val="auto"/>
                <w:highlight w:val="none"/>
                <w:vertAlign w:val="baseline"/>
                <w:lang w:val="en-US" w:eastAsia="zh-CN"/>
              </w:rPr>
              <w:t>。本项目建成后全厂非甲烷总烃排放量为0.0426t/a，氯化氢排放量为0.029423t/a，氟化物排放量为0.004t/a，非甲烷总烃排放量减少0.02388t/a，氯化氢排放量减少0.004577t/a，氟化物排放量减少0.006t/a。</w:t>
            </w:r>
            <w:r>
              <w:rPr>
                <w:rFonts w:hint="eastAsia"/>
                <w:color w:val="auto"/>
                <w:highlight w:val="none"/>
                <w:lang w:val="en-US" w:eastAsia="zh-CN"/>
              </w:rPr>
              <w:t>项目</w:t>
            </w:r>
            <w:r>
              <w:rPr>
                <w:rFonts w:hint="eastAsia" w:ascii="Times New Roman" w:hAnsi="Times New Roman" w:eastAsia="宋体"/>
                <w:b w:val="0"/>
                <w:bCs w:val="0"/>
                <w:color w:val="auto"/>
                <w:sz w:val="24"/>
                <w:szCs w:val="24"/>
                <w:highlight w:val="none"/>
                <w:lang w:val="en-US" w:eastAsia="zh-CN"/>
              </w:rPr>
              <w:t>厂界外500m范围内</w:t>
            </w:r>
            <w:r>
              <w:rPr>
                <w:rFonts w:hint="eastAsia"/>
                <w:b w:val="0"/>
                <w:bCs w:val="0"/>
                <w:color w:val="auto"/>
                <w:sz w:val="24"/>
                <w:szCs w:val="24"/>
                <w:highlight w:val="none"/>
                <w:lang w:val="en-US" w:eastAsia="zh-CN"/>
              </w:rPr>
              <w:t>的大气环境保护目标为</w:t>
            </w:r>
            <w:r>
              <w:rPr>
                <w:rFonts w:hint="eastAsia"/>
                <w:color w:val="auto"/>
                <w:sz w:val="24"/>
                <w:szCs w:val="24"/>
                <w:highlight w:val="none"/>
                <w:lang w:val="en-US" w:eastAsia="zh-CN"/>
              </w:rPr>
              <w:t>东侧250m处的龙湖·天境尘林间居民区和东北侧300m处的凤城凯旋公馆2期居民区，</w:t>
            </w:r>
            <w:r>
              <w:rPr>
                <w:color w:val="auto"/>
                <w:highlight w:val="none"/>
              </w:rPr>
              <w:t>采取各项污染防治措施后，污染物排放均能满足相应标准要求，</w:t>
            </w:r>
            <w:r>
              <w:rPr>
                <w:rFonts w:hint="eastAsia"/>
                <w:color w:val="auto"/>
                <w:highlight w:val="none"/>
                <w:lang w:eastAsia="zh-CN"/>
              </w:rPr>
              <w:t>且排放量</w:t>
            </w:r>
            <w:r>
              <w:rPr>
                <w:rFonts w:hint="eastAsia"/>
                <w:color w:val="auto"/>
                <w:highlight w:val="none"/>
                <w:lang w:val="en-US" w:eastAsia="zh-CN"/>
              </w:rPr>
              <w:t>较</w:t>
            </w:r>
            <w:r>
              <w:rPr>
                <w:rFonts w:hint="eastAsia"/>
                <w:color w:val="auto"/>
                <w:highlight w:val="none"/>
                <w:lang w:eastAsia="zh-CN"/>
              </w:rPr>
              <w:t>少，</w:t>
            </w:r>
            <w:r>
              <w:rPr>
                <w:rFonts w:hint="eastAsia"/>
                <w:color w:val="auto"/>
                <w:highlight w:val="none"/>
                <w:lang w:val="en-US" w:eastAsia="zh-CN"/>
              </w:rPr>
              <w:t>不会对环境保护目标产生</w:t>
            </w:r>
            <w:r>
              <w:rPr>
                <w:color w:val="auto"/>
                <w:highlight w:val="none"/>
              </w:rPr>
              <w:t>影响，本项目大气环境影响可接受</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6</w:t>
            </w:r>
            <w:r>
              <w:rPr>
                <w:rFonts w:hint="eastAsia" w:ascii="Times New Roman" w:hAnsi="Times New Roman" w:cs="Times New Roman"/>
                <w:b/>
                <w:bCs/>
                <w:color w:val="auto"/>
                <w:highlight w:val="none"/>
                <w:lang w:val="en-US" w:eastAsia="zh-CN"/>
              </w:rPr>
              <w:t xml:space="preserve"> 本项目建成后废气排放情况对比分析</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表</w:t>
            </w:r>
            <w:r>
              <w:rPr>
                <w:rFonts w:hint="eastAsia"/>
                <w:b/>
                <w:bCs/>
                <w:color w:val="auto"/>
                <w:sz w:val="21"/>
                <w:szCs w:val="21"/>
                <w:highlight w:val="none"/>
                <w:lang w:val="en-US" w:eastAsia="zh-CN"/>
              </w:rPr>
              <w:t>32</w:t>
            </w:r>
            <w:r>
              <w:rPr>
                <w:rFonts w:hint="default"/>
                <w:b/>
                <w:bCs/>
                <w:color w:val="auto"/>
                <w:sz w:val="21"/>
                <w:szCs w:val="21"/>
                <w:highlight w:val="none"/>
                <w:lang w:val="en-US" w:eastAsia="zh-CN"/>
              </w:rPr>
              <w:t xml:space="preserve"> </w:t>
            </w:r>
            <w:r>
              <w:rPr>
                <w:rFonts w:hint="eastAsia"/>
                <w:b/>
                <w:bCs/>
                <w:color w:val="auto"/>
                <w:sz w:val="21"/>
                <w:szCs w:val="21"/>
                <w:highlight w:val="none"/>
                <w:lang w:val="en-US" w:eastAsia="zh-CN"/>
              </w:rPr>
              <w:t xml:space="preserve"> 项目建成后废气排放情况对比分析一览表</w:t>
            </w:r>
            <w:r>
              <w:rPr>
                <w:rFonts w:hint="default"/>
                <w:b/>
                <w:bCs/>
                <w:color w:val="auto"/>
                <w:sz w:val="21"/>
                <w:szCs w:val="21"/>
                <w:highlight w:val="none"/>
                <w:lang w:val="en-US" w:eastAsia="zh-CN"/>
              </w:rPr>
              <w:t xml:space="preserve"> </w:t>
            </w:r>
          </w:p>
          <w:tbl>
            <w:tblPr>
              <w:tblStyle w:val="25"/>
              <w:tblW w:w="8277"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1307"/>
              <w:gridCol w:w="1364"/>
              <w:gridCol w:w="1362"/>
              <w:gridCol w:w="1686"/>
              <w:gridCol w:w="1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4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污染物</w:t>
                  </w:r>
                </w:p>
              </w:tc>
              <w:tc>
                <w:tcPr>
                  <w:tcW w:w="13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现有工程排放量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本项目排放量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3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以新带老削减量</w:t>
                  </w:r>
                  <w:r>
                    <w:rPr>
                      <w:rFonts w:hint="eastAsia" w:cs="Times New Roman"/>
                      <w:b w:val="0"/>
                      <w:bCs w:val="0"/>
                      <w:smallCaps w:val="0"/>
                      <w:color w:val="auto"/>
                      <w:spacing w:val="0"/>
                      <w:position w:val="0"/>
                      <w:sz w:val="21"/>
                      <w:szCs w:val="21"/>
                      <w:highlight w:val="none"/>
                      <w:vertAlign w:val="baseline"/>
                      <w:lang w:val="en-US" w:eastAsia="zh-CN"/>
                    </w:rPr>
                    <w:t>（t/a）</w:t>
                  </w:r>
                </w:p>
              </w:tc>
              <w:tc>
                <w:tcPr>
                  <w:tcW w:w="1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本项目实施后全厂排放量</w:t>
                  </w:r>
                  <w:r>
                    <w:rPr>
                      <w:rFonts w:hint="eastAsia" w:cs="Times New Roman"/>
                      <w:b w:val="0"/>
                      <w:bCs w:val="0"/>
                      <w:smallCaps w:val="0"/>
                      <w:color w:val="auto"/>
                      <w:spacing w:val="0"/>
                      <w:position w:val="0"/>
                      <w:sz w:val="21"/>
                      <w:szCs w:val="21"/>
                      <w:highlight w:val="none"/>
                      <w:vertAlign w:val="baseline"/>
                      <w:lang w:val="en-US" w:eastAsia="zh-CN"/>
                    </w:rPr>
                    <w:t>（t/a）</w:t>
                  </w:r>
                </w:p>
              </w:tc>
              <w:tc>
                <w:tcPr>
                  <w:tcW w:w="10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ascii="Times New Roman" w:hAnsi="Times New Roman" w:cs="Times New Roman"/>
                      <w:b w:val="0"/>
                      <w:bCs w:val="0"/>
                      <w:smallCaps w:val="0"/>
                      <w:color w:val="auto"/>
                      <w:spacing w:val="0"/>
                      <w:position w:val="0"/>
                      <w:sz w:val="21"/>
                      <w:szCs w:val="21"/>
                      <w:highlight w:val="none"/>
                      <w:vertAlign w:val="baseline"/>
                      <w:lang w:val="en-US" w:eastAsia="zh-CN"/>
                    </w:rPr>
                    <w:t>变化量</w:t>
                  </w:r>
                  <w:r>
                    <w:rPr>
                      <w:rFonts w:hint="eastAsia" w:cs="Times New Roman"/>
                      <w:b w:val="0"/>
                      <w:bCs w:val="0"/>
                      <w:smallCaps w:val="0"/>
                      <w:color w:val="auto"/>
                      <w:spacing w:val="0"/>
                      <w:position w:val="0"/>
                      <w:sz w:val="21"/>
                      <w:szCs w:val="21"/>
                      <w:highlight w:val="none"/>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eastAsiaTheme="minorEastAsia"/>
                      <w:snapToGrid w:val="0"/>
                      <w:color w:val="auto"/>
                      <w:kern w:val="21"/>
                      <w:sz w:val="21"/>
                      <w:szCs w:val="21"/>
                      <w:highlight w:val="none"/>
                      <w:lang w:val="en-US" w:eastAsia="zh-CN"/>
                    </w:rPr>
                    <w:t>非甲烷总烃</w:t>
                  </w:r>
                </w:p>
              </w:tc>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0.06648</w:t>
                  </w:r>
                </w:p>
              </w:tc>
              <w:tc>
                <w:tcPr>
                  <w:tcW w:w="136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0.0426</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0.06648</w:t>
                  </w:r>
                </w:p>
              </w:tc>
              <w:tc>
                <w:tcPr>
                  <w:tcW w:w="168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snapToGrid w:val="0"/>
                      <w:color w:val="auto"/>
                      <w:kern w:val="21"/>
                      <w:sz w:val="21"/>
                      <w:szCs w:val="21"/>
                      <w:highlight w:val="none"/>
                      <w:lang w:val="en-US" w:eastAsia="zh-CN"/>
                    </w:rPr>
                    <w:t>0.0426</w:t>
                  </w:r>
                </w:p>
              </w:tc>
              <w:tc>
                <w:tcPr>
                  <w:tcW w:w="108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-0.02388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eastAsiaTheme="minorEastAsia"/>
                      <w:snapToGrid w:val="0"/>
                      <w:color w:val="auto"/>
                      <w:kern w:val="21"/>
                      <w:sz w:val="21"/>
                      <w:szCs w:val="21"/>
                      <w:highlight w:val="none"/>
                      <w:lang w:val="en-US" w:eastAsia="zh-CN"/>
                    </w:rPr>
                    <w:t>氯化氢</w:t>
                  </w:r>
                </w:p>
              </w:tc>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0.034</w:t>
                  </w:r>
                </w:p>
              </w:tc>
              <w:tc>
                <w:tcPr>
                  <w:tcW w:w="136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0.029423</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0.034</w:t>
                  </w:r>
                </w:p>
              </w:tc>
              <w:tc>
                <w:tcPr>
                  <w:tcW w:w="168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snapToGrid w:val="0"/>
                      <w:color w:val="auto"/>
                      <w:kern w:val="21"/>
                      <w:sz w:val="21"/>
                      <w:szCs w:val="21"/>
                      <w:highlight w:val="none"/>
                      <w:lang w:val="en-US" w:eastAsia="zh-CN"/>
                    </w:rPr>
                    <w:t>0.029423</w:t>
                  </w:r>
                </w:p>
              </w:tc>
              <w:tc>
                <w:tcPr>
                  <w:tcW w:w="108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-0.004577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氟化物</w:t>
                  </w:r>
                </w:p>
              </w:tc>
              <w:tc>
                <w:tcPr>
                  <w:tcW w:w="13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0.0046</w:t>
                  </w:r>
                </w:p>
              </w:tc>
              <w:tc>
                <w:tcPr>
                  <w:tcW w:w="136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hAnsi="宋体" w:cs="宋体"/>
                      <w:snapToGrid w:val="0"/>
                      <w:color w:val="auto"/>
                      <w:kern w:val="21"/>
                      <w:sz w:val="21"/>
                      <w:szCs w:val="21"/>
                      <w:highlight w:val="none"/>
                      <w:lang w:val="en-US" w:eastAsia="zh-CN"/>
                    </w:rPr>
                  </w:pPr>
                  <w:r>
                    <w:rPr>
                      <w:rFonts w:hint="eastAsia" w:hAnsi="宋体" w:cs="宋体"/>
                      <w:snapToGrid w:val="0"/>
                      <w:color w:val="auto"/>
                      <w:kern w:val="21"/>
                      <w:sz w:val="21"/>
                      <w:szCs w:val="21"/>
                      <w:highlight w:val="none"/>
                      <w:lang w:val="en-US" w:eastAsia="zh-CN"/>
                    </w:rPr>
                    <w:t>0.004</w:t>
                  </w:r>
                </w:p>
              </w:tc>
              <w:tc>
                <w:tcPr>
                  <w:tcW w:w="136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0.0046</w:t>
                  </w:r>
                </w:p>
              </w:tc>
              <w:tc>
                <w:tcPr>
                  <w:tcW w:w="168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hAnsi="宋体" w:cs="宋体"/>
                      <w:snapToGrid w:val="0"/>
                      <w:color w:val="auto"/>
                      <w:kern w:val="21"/>
                      <w:sz w:val="21"/>
                      <w:szCs w:val="21"/>
                      <w:highlight w:val="none"/>
                      <w:lang w:val="en-US" w:eastAsia="zh-CN"/>
                    </w:rPr>
                    <w:t>0.004</w:t>
                  </w:r>
                </w:p>
              </w:tc>
              <w:tc>
                <w:tcPr>
                  <w:tcW w:w="1089"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8277" w:type="dxa"/>
                  <w:gridSpan w:val="6"/>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left"/>
                    <w:textAlignment w:val="auto"/>
                    <w:rPr>
                      <w:rFonts w:hint="default" w:ascii="Times New Roman" w:hAnsi="Times New Roman" w:cs="Times New Roman"/>
                      <w:b w:val="0"/>
                      <w:bCs w:val="0"/>
                      <w:smallCaps w:val="0"/>
                      <w:color w:val="auto"/>
                      <w:spacing w:val="0"/>
                      <w:position w:val="0"/>
                      <w:sz w:val="21"/>
                      <w:szCs w:val="21"/>
                      <w:highlight w:val="none"/>
                      <w:vertAlign w:val="baseline"/>
                      <w:lang w:val="en-US" w:eastAsia="zh-CN"/>
                    </w:rPr>
                  </w:pPr>
                  <w:r>
                    <w:rPr>
                      <w:rFonts w:hint="eastAsia" w:cs="Times New Roman"/>
                      <w:b w:val="0"/>
                      <w:bCs w:val="0"/>
                      <w:smallCaps w:val="0"/>
                      <w:color w:val="auto"/>
                      <w:spacing w:val="0"/>
                      <w:position w:val="0"/>
                      <w:sz w:val="21"/>
                      <w:szCs w:val="21"/>
                      <w:highlight w:val="none"/>
                      <w:vertAlign w:val="baseline"/>
                      <w:lang w:val="en-US" w:eastAsia="zh-CN"/>
                    </w:rPr>
                    <w:t>备注：由于本项目建成后现有石墨烯电发热体生产线产能减小，污染物排放量相应减少，且污染物源强核算方法发生变化，故本项目排放量为项目建成后全厂排放量。</w:t>
                  </w:r>
                </w:p>
              </w:tc>
            </w:tr>
          </w:tbl>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1.7监测计划</w:t>
            </w:r>
          </w:p>
          <w:p>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按照《排污单位自行监测技术指南 总则》</w:t>
            </w:r>
            <w:r>
              <w:rPr>
                <w:rFonts w:hint="eastAsia"/>
                <w:color w:val="auto"/>
                <w:sz w:val="24"/>
                <w:szCs w:val="24"/>
                <w:highlight w:val="none"/>
                <w:lang w:eastAsia="zh-CN"/>
              </w:rPr>
              <w:t>（</w:t>
            </w:r>
            <w:r>
              <w:rPr>
                <w:rFonts w:hint="eastAsia"/>
                <w:color w:val="auto"/>
                <w:sz w:val="24"/>
                <w:szCs w:val="24"/>
                <w:highlight w:val="none"/>
                <w:lang w:val="en-US" w:eastAsia="zh-CN"/>
              </w:rPr>
              <w:t>HJ819-2017</w:t>
            </w:r>
            <w:r>
              <w:rPr>
                <w:rFonts w:hint="eastAsia"/>
                <w:color w:val="auto"/>
                <w:sz w:val="24"/>
                <w:szCs w:val="24"/>
                <w:highlight w:val="none"/>
                <w:lang w:eastAsia="zh-CN"/>
              </w:rPr>
              <w:t>）</w:t>
            </w:r>
            <w:r>
              <w:rPr>
                <w:rFonts w:hint="eastAsia" w:ascii="Times New Roman" w:hAnsi="Times New Roman"/>
                <w:color w:val="auto"/>
                <w:sz w:val="24"/>
                <w:szCs w:val="24"/>
                <w:highlight w:val="none"/>
                <w:lang w:val="en-US" w:eastAsia="zh-CN"/>
              </w:rPr>
              <w:t>，</w:t>
            </w:r>
            <w:r>
              <w:rPr>
                <w:rFonts w:hint="eastAsia"/>
                <w:color w:val="auto"/>
                <w:kern w:val="1"/>
                <w:sz w:val="24"/>
                <w:szCs w:val="24"/>
                <w:highlight w:val="none"/>
                <w:lang w:val="en-US" w:eastAsia="zh-CN" w:bidi="ar"/>
              </w:rPr>
              <w:t>本项目建成后全厂废气监测因子、监测频次、执行排放标准情况见下表。</w:t>
            </w:r>
          </w:p>
          <w:p>
            <w:pPr>
              <w:pStyle w:val="31"/>
              <w:bidi w:val="0"/>
              <w:rPr>
                <w:rFonts w:hint="default"/>
                <w:color w:val="auto"/>
                <w:sz w:val="21"/>
                <w:szCs w:val="21"/>
                <w:highlight w:val="none"/>
              </w:rPr>
            </w:pPr>
          </w:p>
          <w:p>
            <w:pPr>
              <w:pStyle w:val="31"/>
              <w:bidi w:val="0"/>
              <w:rPr>
                <w:rFonts w:hint="default"/>
                <w:color w:val="auto"/>
                <w:sz w:val="21"/>
                <w:szCs w:val="21"/>
                <w:highlight w:val="none"/>
              </w:rPr>
            </w:pPr>
          </w:p>
          <w:p>
            <w:pPr>
              <w:pStyle w:val="31"/>
              <w:bidi w:val="0"/>
              <w:rPr>
                <w:rFonts w:hint="default"/>
                <w:color w:val="auto"/>
                <w:sz w:val="21"/>
                <w:szCs w:val="21"/>
                <w:highlight w:val="none"/>
              </w:rPr>
            </w:pPr>
          </w:p>
          <w:p>
            <w:pPr>
              <w:pStyle w:val="31"/>
              <w:bidi w:val="0"/>
              <w:rPr>
                <w:rFonts w:hint="default"/>
                <w:color w:val="auto"/>
                <w:sz w:val="21"/>
                <w:szCs w:val="21"/>
                <w:highlight w:val="none"/>
              </w:rPr>
            </w:pPr>
          </w:p>
          <w:p>
            <w:pPr>
              <w:pStyle w:val="31"/>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33</w:t>
            </w:r>
            <w:r>
              <w:rPr>
                <w:rFonts w:hint="default"/>
                <w:color w:val="auto"/>
                <w:sz w:val="21"/>
                <w:szCs w:val="21"/>
                <w:highlight w:val="none"/>
              </w:rPr>
              <w:t xml:space="preserve">  </w:t>
            </w:r>
            <w:r>
              <w:rPr>
                <w:rFonts w:hint="eastAsia"/>
                <w:color w:val="auto"/>
                <w:sz w:val="21"/>
                <w:szCs w:val="21"/>
                <w:highlight w:val="none"/>
                <w:lang w:val="en-US" w:eastAsia="zh-CN"/>
              </w:rPr>
              <w:t>本项目建成后全厂</w:t>
            </w:r>
            <w:r>
              <w:rPr>
                <w:rFonts w:hint="default"/>
                <w:color w:val="auto"/>
                <w:sz w:val="21"/>
                <w:szCs w:val="21"/>
                <w:highlight w:val="none"/>
              </w:rPr>
              <w:t>废</w:t>
            </w:r>
            <w:r>
              <w:rPr>
                <w:rFonts w:hint="eastAsia"/>
                <w:color w:val="auto"/>
                <w:sz w:val="21"/>
                <w:szCs w:val="21"/>
                <w:highlight w:val="none"/>
                <w:lang w:val="en-US" w:eastAsia="zh-CN"/>
              </w:rPr>
              <w:t>气</w:t>
            </w:r>
            <w:r>
              <w:rPr>
                <w:rFonts w:hint="default"/>
                <w:color w:val="auto"/>
                <w:sz w:val="21"/>
                <w:szCs w:val="21"/>
                <w:highlight w:val="none"/>
              </w:rPr>
              <w:t>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4"/>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23"/>
              <w:gridCol w:w="1179"/>
              <w:gridCol w:w="978"/>
              <w:gridCol w:w="46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23"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sz w:val="21"/>
                      <w:szCs w:val="21"/>
                      <w:highlight w:val="none"/>
                      <w:lang w:eastAsia="zh-CN"/>
                    </w:rPr>
                  </w:pPr>
                  <w:r>
                    <w:rPr>
                      <w:rFonts w:hint="default"/>
                      <w:color w:val="auto"/>
                      <w:sz w:val="21"/>
                      <w:szCs w:val="21"/>
                      <w:highlight w:val="none"/>
                    </w:rPr>
                    <w:t>监测</w:t>
                  </w:r>
                  <w:r>
                    <w:rPr>
                      <w:rFonts w:hint="eastAsia"/>
                      <w:color w:val="auto"/>
                      <w:sz w:val="21"/>
                      <w:szCs w:val="21"/>
                      <w:highlight w:val="none"/>
                      <w:lang w:val="en-US" w:eastAsia="zh-CN"/>
                    </w:rPr>
                    <w:t>因子</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01" w:hRule="atLeast"/>
                <w:jc w:val="center"/>
              </w:trPr>
              <w:tc>
                <w:tcPr>
                  <w:tcW w:w="1423" w:type="dxa"/>
                  <w:vMerge w:val="restart"/>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电发热元件生产废气排放口（DA001）</w:t>
                  </w: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工业企业挥发性有机物排放控制标准》（DB13 2322-2016）表1中其他行业最高允许排放浓度：非甲烷总烃80mg/m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vertAlign w:val="baseline"/>
                      <w:lang w:val="en-US" w:eastAsia="zh-CN"/>
                    </w:rPr>
                    <w:t>，同时执行企业承诺限值：非甲烷总烃排放浓度不高于50mg/m</w:t>
                  </w:r>
                  <w:r>
                    <w:rPr>
                      <w:rFonts w:hint="eastAsia"/>
                      <w:b w:val="0"/>
                      <w:bCs w:val="0"/>
                      <w:color w:val="auto"/>
                      <w:sz w:val="21"/>
                      <w:szCs w:val="21"/>
                      <w:highlight w:val="none"/>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4" w:hRule="atLeast"/>
                <w:jc w:val="center"/>
              </w:trPr>
              <w:tc>
                <w:tcPr>
                  <w:tcW w:w="1423" w:type="dxa"/>
                  <w:vMerge w:val="continue"/>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氟化物</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vertAlign w:val="baseline"/>
                      <w:lang w:val="en-US" w:eastAsia="zh-CN"/>
                    </w:rPr>
                  </w:pPr>
                  <w:r>
                    <w:rPr>
                      <w:rFonts w:hint="eastAsia"/>
                      <w:color w:val="auto"/>
                      <w:sz w:val="21"/>
                      <w:szCs w:val="21"/>
                      <w:lang w:val="en-US" w:eastAsia="zh-CN"/>
                    </w:rPr>
                    <w:t>《大气污染物综合排放标准》（GB16297-1996）中相关限值：氟化物最高允许排放浓度9.0mg/m</w:t>
                  </w:r>
                  <w:r>
                    <w:rPr>
                      <w:rFonts w:hint="eastAsia"/>
                      <w:color w:val="auto"/>
                      <w:sz w:val="21"/>
                      <w:szCs w:val="21"/>
                      <w:vertAlign w:val="superscript"/>
                      <w:lang w:val="en-US" w:eastAsia="zh-CN"/>
                    </w:rPr>
                    <w:t>3</w:t>
                  </w:r>
                  <w:r>
                    <w:rPr>
                      <w:rFonts w:hint="eastAsia"/>
                      <w:color w:val="auto"/>
                      <w:sz w:val="21"/>
                      <w:szCs w:val="21"/>
                      <w:lang w:val="en-US" w:eastAsia="zh-CN"/>
                    </w:rPr>
                    <w:t>，最高允许排放速率0.59kg/h，</w:t>
                  </w:r>
                  <w:r>
                    <w:rPr>
                      <w:rFonts w:hint="eastAsia"/>
                      <w:b w:val="0"/>
                      <w:bCs w:val="0"/>
                      <w:color w:val="auto"/>
                      <w:sz w:val="21"/>
                      <w:szCs w:val="21"/>
                      <w:highlight w:val="none"/>
                      <w:vertAlign w:val="baseline"/>
                      <w:lang w:val="en-US" w:eastAsia="zh-CN"/>
                    </w:rPr>
                    <w:t>同时执行企业承诺限值：氟化物排放浓度不高于3mg/m</w:t>
                  </w:r>
                  <w:r>
                    <w:rPr>
                      <w:rFonts w:hint="eastAsia"/>
                      <w:b w:val="0"/>
                      <w:bCs w:val="0"/>
                      <w:color w:val="auto"/>
                      <w:sz w:val="21"/>
                      <w:szCs w:val="21"/>
                      <w:highlight w:val="none"/>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93" w:hRule="atLeast"/>
                <w:jc w:val="center"/>
              </w:trPr>
              <w:tc>
                <w:tcPr>
                  <w:tcW w:w="1423" w:type="dxa"/>
                  <w:vMerge w:val="continue"/>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氯化氢</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vertAlign w:val="baseline"/>
                      <w:lang w:val="en-US" w:eastAsia="zh-CN"/>
                    </w:rPr>
                  </w:pPr>
                  <w:r>
                    <w:rPr>
                      <w:rFonts w:hint="eastAsia"/>
                      <w:color w:val="auto"/>
                      <w:sz w:val="21"/>
                      <w:szCs w:val="21"/>
                      <w:lang w:val="en-US" w:eastAsia="zh-CN"/>
                    </w:rPr>
                    <w:t>《大气污染物综合排放标准》（GB16297-1996）中相关限值：氯化物最高允许排放浓度100mg/m</w:t>
                  </w:r>
                  <w:r>
                    <w:rPr>
                      <w:rFonts w:hint="eastAsia"/>
                      <w:color w:val="auto"/>
                      <w:sz w:val="21"/>
                      <w:szCs w:val="21"/>
                      <w:vertAlign w:val="superscript"/>
                      <w:lang w:val="en-US" w:eastAsia="zh-CN"/>
                    </w:rPr>
                    <w:t>3</w:t>
                  </w:r>
                  <w:r>
                    <w:rPr>
                      <w:rFonts w:hint="eastAsia"/>
                      <w:color w:val="auto"/>
                      <w:sz w:val="21"/>
                      <w:szCs w:val="21"/>
                      <w:lang w:val="en-US" w:eastAsia="zh-CN"/>
                    </w:rPr>
                    <w:t>，最高允许排放速率1.4kg/h，氯化氢排放浓度不高于10mg/m</w:t>
                  </w:r>
                  <w:r>
                    <w:rPr>
                      <w:rFonts w:hint="eastAsia"/>
                      <w:color w:val="auto"/>
                      <w:sz w:val="21"/>
                      <w:szCs w:val="21"/>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75" w:hRule="atLeast"/>
                <w:jc w:val="center"/>
              </w:trPr>
              <w:tc>
                <w:tcPr>
                  <w:tcW w:w="1423" w:type="dxa"/>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厂区内</w:t>
                  </w: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sz w:val="21"/>
                      <w:szCs w:val="21"/>
                      <w:lang w:val="en-US" w:eastAsia="zh-CN"/>
                    </w:rPr>
                  </w:pPr>
                  <w:r>
                    <w:rPr>
                      <w:rFonts w:hint="eastAsia"/>
                      <w:color w:val="auto"/>
                      <w:sz w:val="21"/>
                      <w:szCs w:val="21"/>
                      <w:lang w:val="en-US" w:eastAsia="zh-CN"/>
                    </w:rPr>
                    <w:t>《挥发性有机物无组织排放控制标准》（GB37822-2019）附录A表A.1厂区内VOCs无组织排放限值中厂房外监控点1h平均浓度限值：非甲烷总烃6mg/m</w:t>
                  </w:r>
                  <w:r>
                    <w:rPr>
                      <w:rFonts w:hint="eastAsia"/>
                      <w:color w:val="auto"/>
                      <w:sz w:val="21"/>
                      <w:szCs w:val="21"/>
                      <w:vertAlign w:val="superscript"/>
                      <w:lang w:val="en-US" w:eastAsia="zh-CN"/>
                    </w:rPr>
                    <w:t>3</w:t>
                  </w:r>
                  <w:r>
                    <w:rPr>
                      <w:rFonts w:hint="eastAsia"/>
                      <w:color w:val="auto"/>
                      <w:sz w:val="21"/>
                      <w:szCs w:val="21"/>
                      <w:lang w:val="en-US" w:eastAsia="zh-CN"/>
                    </w:rPr>
                    <w:t>，任意一次浓度限值：非甲烷总烃20mg/m</w:t>
                  </w:r>
                  <w:r>
                    <w:rPr>
                      <w:rFonts w:hint="eastAsia"/>
                      <w:color w:val="auto"/>
                      <w:sz w:val="21"/>
                      <w:szCs w:val="21"/>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41" w:hRule="atLeast"/>
                <w:jc w:val="center"/>
              </w:trPr>
              <w:tc>
                <w:tcPr>
                  <w:tcW w:w="1423" w:type="dxa"/>
                  <w:vMerge w:val="restart"/>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w:t>
                  </w: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vertAlign w:val="baseline"/>
                      <w:lang w:val="en-US"/>
                    </w:rPr>
                  </w:pPr>
                  <w:r>
                    <w:rPr>
                      <w:color w:val="auto"/>
                      <w:sz w:val="21"/>
                      <w:szCs w:val="21"/>
                      <w:highlight w:val="none"/>
                    </w:rPr>
                    <w:t>《工业企业挥发性有机物排放控制标准》（DB13/2322-2016）</w:t>
                  </w:r>
                  <w:r>
                    <w:rPr>
                      <w:rFonts w:hint="eastAsia"/>
                      <w:color w:val="auto"/>
                      <w:sz w:val="21"/>
                      <w:szCs w:val="21"/>
                      <w:highlight w:val="none"/>
                    </w:rPr>
                    <w:t>表</w:t>
                  </w:r>
                  <w:r>
                    <w:rPr>
                      <w:color w:val="auto"/>
                      <w:sz w:val="21"/>
                      <w:szCs w:val="21"/>
                      <w:highlight w:val="none"/>
                    </w:rPr>
                    <w:t>2</w:t>
                  </w:r>
                  <w:r>
                    <w:rPr>
                      <w:rFonts w:hint="eastAsia"/>
                      <w:color w:val="auto"/>
                      <w:sz w:val="21"/>
                      <w:szCs w:val="21"/>
                      <w:highlight w:val="none"/>
                    </w:rPr>
                    <w:t>企业边界大气污染物浓度限值中其他企业：非甲烷总烃</w:t>
                  </w:r>
                  <w:r>
                    <w:rPr>
                      <w:color w:val="auto"/>
                      <w:sz w:val="21"/>
                      <w:szCs w:val="21"/>
                      <w:highlight w:val="none"/>
                    </w:rPr>
                    <w:t>2.0mg/m</w:t>
                  </w:r>
                  <w:r>
                    <w:rPr>
                      <w:color w:val="auto"/>
                      <w:sz w:val="21"/>
                      <w:szCs w:val="21"/>
                      <w:highlight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2" w:hRule="atLeast"/>
                <w:jc w:val="center"/>
              </w:trPr>
              <w:tc>
                <w:tcPr>
                  <w:tcW w:w="1423" w:type="dxa"/>
                  <w:vMerge w:val="continue"/>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17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氯化氢</w:t>
                  </w:r>
                </w:p>
              </w:tc>
              <w:tc>
                <w:tcPr>
                  <w:tcW w:w="9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c>
                <w:tcPr>
                  <w:tcW w:w="4697"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《大气污染物综合排放标准》（GB16297-1996）表2中无组织排放监控浓度相关限值要求：氯化氢0.20mg/m</w:t>
                  </w:r>
                  <w:r>
                    <w:rPr>
                      <w:rFonts w:hint="eastAsia"/>
                      <w:b w:val="0"/>
                      <w:bCs w:val="0"/>
                      <w:color w:val="auto"/>
                      <w:sz w:val="21"/>
                      <w:szCs w:val="21"/>
                      <w:highlight w:val="none"/>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8277" w:type="dxa"/>
                  <w:gridSpan w:val="4"/>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备注：待《</w:t>
                  </w:r>
                  <w:r>
                    <w:rPr>
                      <w:rFonts w:hint="eastAsia"/>
                      <w:color w:val="auto"/>
                      <w:lang w:val="en-US" w:eastAsia="zh-CN"/>
                    </w:rPr>
                    <w:t>电子工业污染物排放标准》发布正式标准后，非甲烷总烃、氟化物、氯化物排放标准可参照其执行。</w:t>
                  </w:r>
                </w:p>
              </w:tc>
            </w:tr>
          </w:tbl>
          <w:p>
            <w:pPr>
              <w:keepNext w:val="0"/>
              <w:keepLines w:val="0"/>
              <w:pageBreakBefore w:val="0"/>
              <w:widowControl w:val="0"/>
              <w:numPr>
                <w:ilvl w:val="0"/>
                <w:numId w:val="29"/>
              </w:numPr>
              <w:suppressLineNumbers w:val="0"/>
              <w:kinsoku/>
              <w:wordWrap/>
              <w:overflowPunct/>
              <w:topLinePunct w:val="0"/>
              <w:bidi w:val="0"/>
              <w:spacing w:beforeAutospacing="0" w:after="0" w:afterAutospacing="0" w:line="480" w:lineRule="exact"/>
              <w:ind w:left="0" w:leftChars="0" w:right="0" w:firstLine="0" w:firstLineChars="0"/>
              <w:textAlignment w:val="auto"/>
              <w:rPr>
                <w:rFonts w:hint="eastAsia"/>
                <w:b/>
                <w:bCs/>
                <w:color w:val="auto"/>
                <w:highlight w:val="none"/>
                <w:lang w:val="en-US" w:eastAsia="zh-CN"/>
              </w:rPr>
            </w:pPr>
            <w:r>
              <w:rPr>
                <w:rFonts w:hint="eastAsia"/>
                <w:b/>
                <w:bCs/>
                <w:color w:val="auto"/>
                <w:highlight w:val="none"/>
                <w:lang w:val="en-US" w:eastAsia="zh-CN"/>
              </w:rPr>
              <w:t>废水</w:t>
            </w:r>
          </w:p>
          <w:p>
            <w:pPr>
              <w:bidi w:val="0"/>
              <w:rPr>
                <w:rFonts w:hint="eastAsia" w:eastAsia="宋体"/>
                <w:color w:val="auto"/>
                <w:lang w:val="en-US" w:eastAsia="zh-CN"/>
              </w:rPr>
            </w:pPr>
            <w:r>
              <w:rPr>
                <w:rFonts w:hint="eastAsia"/>
                <w:color w:val="auto"/>
                <w:lang w:val="en-US" w:eastAsia="zh-CN"/>
              </w:rPr>
              <w:t>本项目无废水产生及排放，</w:t>
            </w:r>
            <w:r>
              <w:rPr>
                <w:rFonts w:hint="eastAsia"/>
                <w:color w:val="auto"/>
                <w:highlight w:val="none"/>
                <w:lang w:val="en-US" w:eastAsia="zh-CN"/>
              </w:rPr>
              <w:t>不会对周边地表</w:t>
            </w:r>
            <w:r>
              <w:rPr>
                <w:rFonts w:hint="default"/>
                <w:color w:val="auto"/>
                <w:highlight w:val="none"/>
              </w:rPr>
              <w:t>水环境</w:t>
            </w:r>
            <w:r>
              <w:rPr>
                <w:rFonts w:hint="eastAsia"/>
                <w:color w:val="auto"/>
                <w:highlight w:val="none"/>
                <w:lang w:val="en-US" w:eastAsia="zh-CN"/>
              </w:rPr>
              <w:t>造成</w:t>
            </w:r>
            <w:r>
              <w:rPr>
                <w:rFonts w:hint="default"/>
                <w:color w:val="auto"/>
                <w:highlight w:val="none"/>
              </w:rPr>
              <w:t>影响</w:t>
            </w:r>
            <w:r>
              <w:rPr>
                <w:rFonts w:hint="eastAsia"/>
                <w:color w:val="auto"/>
                <w:highlight w:val="none"/>
                <w:lang w:eastAsia="zh-CN"/>
              </w:rPr>
              <w:t>。</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3、噪声</w:t>
            </w:r>
          </w:p>
          <w:p>
            <w:pPr>
              <w:bidi w:val="0"/>
              <w:rPr>
                <w:rFonts w:hint="default"/>
                <w:color w:val="auto"/>
                <w:lang w:val="en-US" w:eastAsia="zh-CN"/>
              </w:rPr>
            </w:pPr>
            <w:r>
              <w:rPr>
                <w:rFonts w:hint="eastAsia"/>
                <w:color w:val="auto"/>
                <w:lang w:val="en-US" w:eastAsia="zh-CN"/>
              </w:rPr>
              <w:t>项目现有工程厂界噪声不满足相关限值要求，本项目建成后，淘汰部分设备，同时调整平面布局，因此，本次评价对项目建成后全厂产噪设备进行预测。</w:t>
            </w:r>
          </w:p>
          <w:p>
            <w:pPr>
              <w:bidi w:val="0"/>
              <w:rPr>
                <w:rFonts w:hint="default" w:eastAsia="宋体"/>
                <w:b w:val="0"/>
                <w:bCs w:val="0"/>
                <w:color w:val="auto"/>
                <w:highlight w:val="none"/>
                <w:lang w:val="en-US" w:eastAsia="zh-CN"/>
              </w:rPr>
            </w:pPr>
            <w:r>
              <w:rPr>
                <w:rFonts w:hint="eastAsia" w:ascii="Times New Roman" w:eastAsia="宋体"/>
                <w:b/>
                <w:bCs/>
                <w:color w:val="auto"/>
                <w:highlight w:val="none"/>
                <w:lang w:val="en-US" w:eastAsia="zh-CN"/>
              </w:rPr>
              <w:t>3.1本项目噪声污染源分析</w:t>
            </w:r>
          </w:p>
          <w:p>
            <w:pPr>
              <w:rPr>
                <w:rFonts w:hint="default"/>
                <w:b w:val="0"/>
                <w:bCs w:val="0"/>
                <w:color w:val="auto"/>
                <w:highlight w:val="none"/>
              </w:rPr>
            </w:pPr>
            <w:r>
              <w:rPr>
                <w:rFonts w:hint="default"/>
                <w:b w:val="0"/>
                <w:bCs w:val="0"/>
                <w:color w:val="auto"/>
                <w:highlight w:val="none"/>
              </w:rPr>
              <w:t>本项目</w:t>
            </w:r>
            <w:r>
              <w:rPr>
                <w:rFonts w:hint="eastAsia"/>
                <w:b w:val="0"/>
                <w:bCs w:val="0"/>
                <w:color w:val="auto"/>
                <w:highlight w:val="none"/>
                <w:lang w:val="en-US" w:eastAsia="zh-CN"/>
              </w:rPr>
              <w:t>建成后</w:t>
            </w:r>
            <w:r>
              <w:rPr>
                <w:rFonts w:hint="default"/>
                <w:b w:val="0"/>
                <w:bCs w:val="0"/>
                <w:color w:val="auto"/>
                <w:highlight w:val="none"/>
              </w:rPr>
              <w:t>营运期主要噪声源为</w:t>
            </w:r>
            <w:r>
              <w:rPr>
                <w:rFonts w:hint="eastAsia"/>
                <w:b w:val="0"/>
                <w:bCs w:val="0"/>
                <w:color w:val="auto"/>
                <w:highlight w:val="none"/>
                <w:lang w:val="en-US" w:eastAsia="zh-CN"/>
              </w:rPr>
              <w:t>空压机、丝印机、研磨机、覆膜印刷机、覆膜烘干机、喷镀炉、蒸镀炉、烘干炉、烧熔炉、自动覆膜机、风机等</w:t>
            </w:r>
            <w:r>
              <w:rPr>
                <w:rFonts w:hint="default"/>
                <w:b w:val="0"/>
                <w:bCs w:val="0"/>
                <w:color w:val="auto"/>
                <w:highlight w:val="none"/>
              </w:rPr>
              <w:t>运行时产生的噪声，设备噪声源强</w:t>
            </w:r>
            <w:r>
              <w:rPr>
                <w:rFonts w:hint="eastAsia"/>
                <w:b w:val="0"/>
                <w:bCs w:val="0"/>
                <w:color w:val="auto"/>
                <w:highlight w:val="none"/>
                <w:lang w:val="en-US" w:eastAsia="zh-CN"/>
              </w:rPr>
              <w:t>为70～90</w:t>
            </w:r>
            <w:r>
              <w:rPr>
                <w:rFonts w:hint="eastAsia"/>
                <w:b w:val="0"/>
                <w:bCs w:val="0"/>
                <w:color w:val="auto"/>
                <w:highlight w:val="none"/>
              </w:rPr>
              <w:t>dB</w:t>
            </w:r>
            <w:r>
              <w:rPr>
                <w:rFonts w:hint="default"/>
                <w:b w:val="0"/>
                <w:bCs w:val="0"/>
                <w:color w:val="auto"/>
                <w:highlight w:val="none"/>
              </w:rPr>
              <w:t>（A），采取基础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eastAsia"/>
                <w:color w:val="auto"/>
                <w:highlight w:val="none"/>
                <w:lang w:val="en-US" w:eastAsia="zh-CN"/>
              </w:rPr>
              <w:t>项目厂房为单层彩钢板，四侧均设置门窗，生产时门窗关闭，</w:t>
            </w:r>
            <w:r>
              <w:rPr>
                <w:rFonts w:hint="default"/>
                <w:b w:val="0"/>
                <w:bCs w:val="0"/>
                <w:color w:val="auto"/>
                <w:highlight w:val="none"/>
              </w:rPr>
              <w:t>本项目主要设备噪声源强及治理措施见下表：</w:t>
            </w: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rPr>
                <w:rFonts w:hint="default"/>
                <w:b w:val="0"/>
                <w:bCs w:val="0"/>
                <w:color w:val="auto"/>
                <w:highlight w:val="none"/>
              </w:rPr>
            </w:pPr>
          </w:p>
          <w:p>
            <w:pPr>
              <w:ind w:left="0" w:leftChars="0" w:firstLine="0" w:firstLineChars="0"/>
              <w:rPr>
                <w:rFonts w:hint="default"/>
                <w:b w:val="0"/>
                <w:bCs w:val="0"/>
                <w:color w:val="auto"/>
                <w:highlight w:val="none"/>
              </w:rPr>
            </w:pP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3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795" w:type="dxa"/>
            <w:tcBorders>
              <w:tl2br w:val="nil"/>
              <w:tr2bl w:val="nil"/>
            </w:tcBorders>
          </w:tcPr>
          <w:p>
            <w:pPr>
              <w:rPr>
                <w:color w:val="auto"/>
                <w:highlight w:val="none"/>
                <w:vertAlign w:val="baseline"/>
              </w:rPr>
            </w:pPr>
          </w:p>
        </w:tc>
        <w:tc>
          <w:tcPr>
            <w:tcW w:w="13379"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color w:val="auto"/>
                <w:highlight w:val="none"/>
                <w:lang w:val="en-US" w:eastAsia="zh-CN"/>
              </w:rPr>
            </w:pPr>
            <w:r>
              <w:rPr>
                <w:rStyle w:val="48"/>
                <w:rFonts w:hint="default"/>
                <w:color w:val="auto"/>
                <w:sz w:val="21"/>
                <w:szCs w:val="21"/>
                <w:highlight w:val="none"/>
              </w:rPr>
              <w:t>表</w:t>
            </w:r>
            <w:r>
              <w:rPr>
                <w:rStyle w:val="48"/>
                <w:rFonts w:hint="eastAsia"/>
                <w:color w:val="auto"/>
                <w:sz w:val="21"/>
                <w:szCs w:val="21"/>
                <w:highlight w:val="none"/>
                <w:lang w:val="en-US" w:eastAsia="zh-CN"/>
              </w:rPr>
              <w:t>34</w:t>
            </w:r>
            <w:r>
              <w:rPr>
                <w:rStyle w:val="48"/>
                <w:rFonts w:hint="default"/>
                <w:color w:val="auto"/>
                <w:sz w:val="21"/>
                <w:szCs w:val="21"/>
                <w:highlight w:val="none"/>
              </w:rPr>
              <w:t xml:space="preserve">  噪声污染源及治理措施</w:t>
            </w:r>
            <w:r>
              <w:rPr>
                <w:rStyle w:val="48"/>
                <w:rFonts w:hint="eastAsia"/>
                <w:color w:val="auto"/>
                <w:sz w:val="21"/>
                <w:szCs w:val="21"/>
                <w:highlight w:val="none"/>
                <w:lang w:val="en-US" w:eastAsia="zh-CN"/>
              </w:rPr>
              <w:t>一览表（室内声源）</w:t>
            </w:r>
          </w:p>
          <w:tbl>
            <w:tblPr>
              <w:tblStyle w:val="59"/>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59"/>
              <w:gridCol w:w="2"/>
              <w:gridCol w:w="645"/>
              <w:gridCol w:w="854"/>
              <w:gridCol w:w="993"/>
              <w:gridCol w:w="699"/>
              <w:gridCol w:w="733"/>
              <w:gridCol w:w="3"/>
              <w:gridCol w:w="765"/>
              <w:gridCol w:w="483"/>
              <w:gridCol w:w="494"/>
              <w:gridCol w:w="3"/>
              <w:gridCol w:w="580"/>
              <w:gridCol w:w="3"/>
              <w:gridCol w:w="751"/>
              <w:gridCol w:w="3"/>
              <w:gridCol w:w="659"/>
              <w:gridCol w:w="3"/>
              <w:gridCol w:w="938"/>
              <w:gridCol w:w="1037"/>
              <w:gridCol w:w="948"/>
              <w:gridCol w:w="981"/>
              <w:gridCol w:w="11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36"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序号</w:t>
                  </w:r>
                </w:p>
              </w:tc>
              <w:tc>
                <w:tcPr>
                  <w:tcW w:w="246"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建筑物名称</w:t>
                  </w:r>
                </w:p>
              </w:tc>
              <w:tc>
                <w:tcPr>
                  <w:tcW w:w="325"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声源名称</w:t>
                  </w:r>
                </w:p>
              </w:tc>
              <w:tc>
                <w:tcPr>
                  <w:tcW w:w="378"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型号</w:t>
                  </w:r>
                </w:p>
              </w:tc>
              <w:tc>
                <w:tcPr>
                  <w:tcW w:w="266"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声源源强</w:t>
                  </w:r>
                </w:p>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280"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声源控制措施</w:t>
                  </w:r>
                </w:p>
              </w:tc>
              <w:tc>
                <w:tcPr>
                  <w:tcW w:w="291"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default"/>
                      <w:color w:val="auto"/>
                      <w:sz w:val="21"/>
                      <w:szCs w:val="21"/>
                      <w:highlight w:val="none"/>
                    </w:rPr>
                    <w:t>降噪效果dB（A）</w:t>
                  </w:r>
                </w:p>
              </w:tc>
              <w:tc>
                <w:tcPr>
                  <w:tcW w:w="593" w:type="pct"/>
                  <w:gridSpan w:val="4"/>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空间相对位置/m</w:t>
                  </w:r>
                </w:p>
              </w:tc>
              <w:tc>
                <w:tcPr>
                  <w:tcW w:w="539" w:type="pct"/>
                  <w:gridSpan w:val="4"/>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距室内边界距离/m</w:t>
                  </w:r>
                </w:p>
              </w:tc>
              <w:tc>
                <w:tcPr>
                  <w:tcW w:w="358"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pacing w:val="-5"/>
                      <w:sz w:val="21"/>
                      <w:szCs w:val="21"/>
                      <w:highlight w:val="none"/>
                    </w:rPr>
                    <w:t>室内边界</w:t>
                  </w:r>
                  <w:r>
                    <w:rPr>
                      <w:rFonts w:hint="default" w:ascii="Times New Roman" w:hAnsi="Times New Roman" w:cs="Times New Roman" w:eastAsiaTheme="minorEastAsia"/>
                      <w:b w:val="0"/>
                      <w:bCs w:val="0"/>
                      <w:color w:val="auto"/>
                      <w:sz w:val="21"/>
                      <w:szCs w:val="21"/>
                      <w:highlight w:val="none"/>
                    </w:rPr>
                    <w:t>声级/dB(A)</w:t>
                  </w:r>
                </w:p>
              </w:tc>
              <w:tc>
                <w:tcPr>
                  <w:tcW w:w="394"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运行时段</w:t>
                  </w:r>
                </w:p>
              </w:tc>
              <w:tc>
                <w:tcPr>
                  <w:tcW w:w="360"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建筑物插入损失/ dB(A)</w:t>
                  </w:r>
                </w:p>
              </w:tc>
              <w:tc>
                <w:tcPr>
                  <w:tcW w:w="829"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136"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46" w:type="pct"/>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25"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7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6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80" w:type="pct"/>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91"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8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X</w:t>
                  </w:r>
                </w:p>
              </w:tc>
              <w:tc>
                <w:tcPr>
                  <w:tcW w:w="189"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Y</w:t>
                  </w:r>
                </w:p>
              </w:tc>
              <w:tc>
                <w:tcPr>
                  <w:tcW w:w="22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Z</w:t>
                  </w:r>
                </w:p>
              </w:tc>
              <w:tc>
                <w:tcPr>
                  <w:tcW w:w="539" w:type="pct"/>
                  <w:gridSpan w:val="4"/>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58" w:type="pct"/>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9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6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声压级</w:t>
                  </w:r>
                </w:p>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455"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36" w:type="pct"/>
                  <w:vMerge w:val="restart"/>
                  <w:tcBorders>
                    <w:tl2br w:val="nil"/>
                    <w:tr2bl w:val="nil"/>
                  </w:tcBorders>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生产车间</w:t>
                  </w:r>
                </w:p>
              </w:tc>
              <w:tc>
                <w:tcPr>
                  <w:tcW w:w="325"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eastAsiaTheme="minorEastAsia"/>
                      <w:color w:val="auto"/>
                      <w:sz w:val="21"/>
                      <w:szCs w:val="21"/>
                      <w:highlight w:val="none"/>
                      <w:lang w:val="en-US" w:eastAsia="zh-CN" w:bidi="ar-SA"/>
                    </w:rPr>
                  </w:pPr>
                  <w:r>
                    <w:rPr>
                      <w:rFonts w:hint="eastAsia"/>
                      <w:color w:val="auto"/>
                    </w:rPr>
                    <w:t>空压机</w:t>
                  </w:r>
                </w:p>
              </w:tc>
              <w:tc>
                <w:tcPr>
                  <w:tcW w:w="378"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sz w:val="21"/>
                      <w:szCs w:val="21"/>
                      <w:highlight w:val="none"/>
                      <w:lang w:val="en-US" w:eastAsia="en-US" w:bidi="ar-SA"/>
                    </w:rPr>
                  </w:pPr>
                  <w:r>
                    <w:rPr>
                      <w:rFonts w:hint="eastAsia"/>
                      <w:color w:val="auto"/>
                    </w:rPr>
                    <w:t>BD-10A</w:t>
                  </w:r>
                </w:p>
              </w:tc>
              <w:tc>
                <w:tcPr>
                  <w:tcW w:w="266"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80"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183"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189"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w:t>
                  </w:r>
                </w:p>
              </w:tc>
              <w:tc>
                <w:tcPr>
                  <w:tcW w:w="220"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110</w:t>
                  </w:r>
                </w:p>
              </w:tc>
              <w:tc>
                <w:tcPr>
                  <w:tcW w:w="358"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44.2 </w:t>
                  </w:r>
                </w:p>
              </w:tc>
              <w:tc>
                <w:tcPr>
                  <w:tcW w:w="394"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28.2 </w:t>
                  </w:r>
                </w:p>
              </w:tc>
              <w:tc>
                <w:tcPr>
                  <w:tcW w:w="45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3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highlight w:val="none"/>
                    </w:rPr>
                  </w:pPr>
                </w:p>
              </w:tc>
              <w:tc>
                <w:tcPr>
                  <w:tcW w:w="246"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highlight w:val="none"/>
                    </w:rPr>
                  </w:pPr>
                </w:p>
              </w:tc>
              <w:tc>
                <w:tcPr>
                  <w:tcW w:w="325"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78"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6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80"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91"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83"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89"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20"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87"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55</w:t>
                  </w:r>
                </w:p>
              </w:tc>
              <w:tc>
                <w:tcPr>
                  <w:tcW w:w="358"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50.2 </w:t>
                  </w:r>
                </w:p>
              </w:tc>
              <w:tc>
                <w:tcPr>
                  <w:tcW w:w="394"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34.2 </w:t>
                  </w:r>
                </w:p>
              </w:tc>
              <w:tc>
                <w:tcPr>
                  <w:tcW w:w="45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c>
                <w:tcPr>
                  <w:tcW w:w="358"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85.0 </w:t>
                  </w:r>
                </w:p>
              </w:tc>
              <w:tc>
                <w:tcPr>
                  <w:tcW w:w="394"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69.0 </w:t>
                  </w:r>
                </w:p>
              </w:tc>
              <w:tc>
                <w:tcPr>
                  <w:tcW w:w="45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14</w:t>
                  </w:r>
                </w:p>
              </w:tc>
              <w:tc>
                <w:tcPr>
                  <w:tcW w:w="358"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62.1 </w:t>
                  </w:r>
                </w:p>
              </w:tc>
              <w:tc>
                <w:tcPr>
                  <w:tcW w:w="394" w:type="pct"/>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46.1 </w:t>
                  </w:r>
                </w:p>
              </w:tc>
              <w:tc>
                <w:tcPr>
                  <w:tcW w:w="45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restart"/>
                  <w:tcBorders>
                    <w:tl2br w:val="nil"/>
                    <w:tr2bl w:val="nil"/>
                  </w:tcBorders>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46" w:type="pct"/>
                  <w:gridSpan w:val="2"/>
                  <w:vMerge w:val="continue"/>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325"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rPr>
                    <w:t>丝印机</w:t>
                  </w:r>
                </w:p>
              </w:tc>
              <w:tc>
                <w:tcPr>
                  <w:tcW w:w="378" w:type="pct"/>
                  <w:vMerge w:val="restart"/>
                  <w:tcBorders>
                    <w:tl2br w:val="nil"/>
                    <w:tr2bl w:val="nil"/>
                  </w:tcBorders>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color w:val="auto"/>
                    </w:rPr>
                    <w:t>非标定制</w:t>
                  </w:r>
                </w:p>
              </w:tc>
              <w:tc>
                <w:tcPr>
                  <w:tcW w:w="266"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70</w:t>
                  </w:r>
                </w:p>
              </w:tc>
              <w:tc>
                <w:tcPr>
                  <w:tcW w:w="280"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83"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189" w:type="pct"/>
                  <w:gridSpan w:val="2"/>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35</w:t>
                  </w:r>
                </w:p>
              </w:tc>
              <w:tc>
                <w:tcPr>
                  <w:tcW w:w="220"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87"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96</w:t>
                  </w:r>
                </w:p>
              </w:tc>
              <w:tc>
                <w:tcPr>
                  <w:tcW w:w="358" w:type="pct"/>
                  <w:gridSpan w:val="2"/>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25.4 </w:t>
                  </w:r>
                </w:p>
              </w:tc>
              <w:tc>
                <w:tcPr>
                  <w:tcW w:w="394" w:type="pct"/>
                  <w:vMerge w:val="restar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tcBorders>
                    <w:tl2br w:val="nil"/>
                    <w:tr2bl w:val="nil"/>
                  </w:tcBorders>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9.4 </w:t>
                  </w:r>
                </w:p>
              </w:tc>
              <w:tc>
                <w:tcPr>
                  <w:tcW w:w="455"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50</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42.1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26.1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20</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rPr>
                    <w:t>丝印机</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color w:val="auto"/>
                    </w:rPr>
                    <w:t>非标定制</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33</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96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25.4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9.4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48</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42.1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26.1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20</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rPr>
                    <w:t>研磨机</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color w:val="auto"/>
                    </w:rPr>
                    <w:t>LSN05</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75</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26</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6</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83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31.6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15.6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43.6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27.6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41.7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25.7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49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36.2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20.2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研磨机</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LSN05</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27</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31.8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15.8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27</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41.4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25.4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35.8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19.8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7" w:type="pct"/>
                  <w:gridSpan w:val="2"/>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before="23" w:beforeLines="7" w:after="23" w:afterLines="7"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覆膜印刷机</w:t>
                  </w:r>
                </w:p>
              </w:tc>
              <w:tc>
                <w:tcPr>
                  <w:tcW w:w="378"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before="23" w:beforeLines="7" w:after="23" w:afterLines="7"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eastAsia="宋体" w:cs="Times New Roman"/>
                      <w:color w:val="auto"/>
                      <w:sz w:val="21"/>
                      <w:szCs w:val="21"/>
                    </w:rPr>
                    <w:t>LP1700-R1</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221"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108</w:t>
                  </w:r>
                </w:p>
              </w:tc>
              <w:tc>
                <w:tcPr>
                  <w:tcW w:w="357"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24.3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8.3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w:t>
                  </w:r>
                </w:p>
              </w:tc>
              <w:tc>
                <w:tcPr>
                  <w:tcW w:w="357"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357"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50</w:t>
                  </w:r>
                </w:p>
              </w:tc>
              <w:tc>
                <w:tcPr>
                  <w:tcW w:w="357"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7" w:type="pct"/>
                  <w:gridSpan w:val="2"/>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before="23" w:beforeLines="7" w:after="23" w:afterLines="7"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宋体" w:hAnsi="宋体" w:eastAsia="宋体" w:cs="宋体"/>
                      <w:color w:val="auto"/>
                      <w:sz w:val="21"/>
                      <w:szCs w:val="21"/>
                      <w:lang w:val="en-US" w:eastAsia="zh-CN"/>
                    </w:rPr>
                    <w:t>覆膜烘干机</w:t>
                  </w:r>
                </w:p>
              </w:tc>
              <w:tc>
                <w:tcPr>
                  <w:tcW w:w="378"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before="23" w:beforeLines="7" w:after="23" w:afterLines="7"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eastAsia="宋体" w:cs="Times New Roman"/>
                      <w:color w:val="auto"/>
                      <w:sz w:val="21"/>
                      <w:szCs w:val="21"/>
                      <w:lang w:val="en-US" w:eastAsia="zh-CN"/>
                    </w:rPr>
                    <w:t>LSN05</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79"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2"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188"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24</w:t>
                  </w:r>
                </w:p>
              </w:tc>
              <w:tc>
                <w:tcPr>
                  <w:tcW w:w="221"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108</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24.3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8.3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9"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2"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24</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37.4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21.4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9"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2"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7"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9"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2"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1"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31.7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15.7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两级活性炭吸附装置</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lang w:val="en-US" w:eastAsia="zh-CN"/>
                    </w:rPr>
                    <w:t>风机风量</w:t>
                  </w:r>
                  <w:r>
                    <w:rPr>
                      <w:rFonts w:hint="eastAsia"/>
                      <w:color w:val="auto"/>
                      <w:highlight w:val="none"/>
                      <w:lang w:val="en-US" w:eastAsia="zh-CN"/>
                    </w:rPr>
                    <w:t>15</w:t>
                  </w:r>
                  <w:r>
                    <w:rPr>
                      <w:rFonts w:hint="eastAsia"/>
                      <w:color w:val="auto"/>
                      <w:highlight w:val="none"/>
                    </w:rPr>
                    <w:t>0</w:t>
                  </w:r>
                  <w:r>
                    <w:rPr>
                      <w:rFonts w:hint="eastAsia"/>
                      <w:color w:val="auto"/>
                      <w:highlight w:val="none"/>
                      <w:lang w:val="en-US" w:eastAsia="zh-CN"/>
                    </w:rPr>
                    <w:t>0</w:t>
                  </w:r>
                  <w:r>
                    <w:rPr>
                      <w:rFonts w:hint="eastAsia"/>
                      <w:color w:val="auto"/>
                      <w:highlight w:val="none"/>
                    </w:rPr>
                    <w:t>0</w:t>
                  </w:r>
                  <w:r>
                    <w:rPr>
                      <w:color w:val="auto"/>
                      <w:highlight w:val="none"/>
                    </w:rPr>
                    <w:t>m</w:t>
                  </w:r>
                  <w:r>
                    <w:rPr>
                      <w:color w:val="auto"/>
                      <w:highlight w:val="none"/>
                      <w:vertAlign w:val="superscript"/>
                    </w:rPr>
                    <w:t>3</w:t>
                  </w:r>
                  <w:r>
                    <w:rPr>
                      <w:color w:val="auto"/>
                      <w:highlight w:val="none"/>
                    </w:rPr>
                    <w:t>/h</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62</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102</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44.8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28.8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62</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49.2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33.2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68.1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52.1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40"/>
                    <w:keepNext w:val="0"/>
                    <w:keepLines w:val="0"/>
                    <w:pageBreakBefore w:val="0"/>
                    <w:widowControl w:val="0"/>
                    <w:kinsoku/>
                    <w:wordWrap/>
                    <w:overflowPunct/>
                    <w:topLinePunct w:val="0"/>
                    <w:autoSpaceDE/>
                    <w:autoSpaceDN/>
                    <w:bidi w:val="0"/>
                    <w:adjustRightInd/>
                    <w:snapToGrid/>
                    <w:spacing w:before="23" w:beforeLines="7" w:after="23" w:afterLines="7"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3级喷淋塔风机</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lang w:val="en-US" w:eastAsia="zh-CN"/>
                    </w:rPr>
                    <w:t>风机风量</w:t>
                  </w:r>
                  <w:r>
                    <w:rPr>
                      <w:rFonts w:hint="eastAsia"/>
                      <w:color w:val="auto"/>
                      <w:highlight w:val="none"/>
                    </w:rPr>
                    <w:t>1800</w:t>
                  </w:r>
                  <w:r>
                    <w:rPr>
                      <w:color w:val="auto"/>
                      <w:highlight w:val="none"/>
                    </w:rPr>
                    <w:t>m</w:t>
                  </w:r>
                  <w:r>
                    <w:rPr>
                      <w:color w:val="auto"/>
                      <w:highlight w:val="none"/>
                      <w:vertAlign w:val="superscript"/>
                    </w:rPr>
                    <w:t>3</w:t>
                  </w:r>
                  <w:r>
                    <w:rPr>
                      <w:color w:val="auto"/>
                      <w:highlight w:val="none"/>
                    </w:rPr>
                    <w:t>/h</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90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61</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102</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44.8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28.8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49.3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33.3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8</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66.9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50.9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喷镀炉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MX-P</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33.9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17.9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喷镀炉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MX-P</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35</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34.1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18.1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蒸镀炉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MX-Z</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31</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35.2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19.2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烘干炉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MX-HGL</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28</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28</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36.1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20.1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烘干炉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MX-HGL</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25</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37.0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21.0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烧熔炉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MX-HYL</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21</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21</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38.6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22.6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烧熔炉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MX-HYL</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39.0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23.0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rPr>
                    <w:t>烧熔炉</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rPr>
                    <w:t>MX-HYL</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19</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36" w:type="pct"/>
                  <w:vMerge w:val="restart"/>
                  <w:vAlign w:val="center"/>
                </w:tcPr>
                <w:p>
                  <w:pPr>
                    <w:pStyle w:val="35"/>
                    <w:keepNext w:val="0"/>
                    <w:keepLines w:val="0"/>
                    <w:pageBreakBefore w:val="0"/>
                    <w:widowControl w:val="0"/>
                    <w:numPr>
                      <w:ilvl w:val="0"/>
                      <w:numId w:val="30"/>
                    </w:numPr>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color w:val="auto"/>
                      <w:lang w:val="en-US" w:eastAsia="zh-CN"/>
                    </w:rPr>
                    <w:t>自动</w:t>
                  </w:r>
                  <w:r>
                    <w:rPr>
                      <w:rFonts w:hint="eastAsia"/>
                      <w:color w:val="auto"/>
                    </w:rPr>
                    <w:t>覆膜机</w:t>
                  </w:r>
                </w:p>
              </w:tc>
              <w:tc>
                <w:tcPr>
                  <w:tcW w:w="37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23" w:beforeLines="7" w:after="23" w:afterLines="7"/>
                    <w:ind w:firstLine="0" w:firstLineChars="0"/>
                    <w:textAlignment w:val="auto"/>
                    <w:rPr>
                      <w:rFonts w:hint="default" w:ascii="Times New Roman" w:hAnsi="Times New Roman" w:cs="Times New Roman" w:eastAsiaTheme="minorEastAsia"/>
                      <w:color w:val="auto"/>
                      <w:sz w:val="21"/>
                      <w:szCs w:val="21"/>
                      <w:highlight w:val="none"/>
                    </w:rPr>
                  </w:pPr>
                  <w:r>
                    <w:rPr>
                      <w:rFonts w:hint="eastAsia"/>
                      <w:color w:val="auto"/>
                      <w:lang w:val="en-US" w:eastAsia="zh-CN"/>
                    </w:rPr>
                    <w:t>FM-C900300YCR</w:t>
                  </w:r>
                </w:p>
              </w:tc>
              <w:tc>
                <w:tcPr>
                  <w:tcW w:w="266"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70</w:t>
                  </w:r>
                </w:p>
              </w:tc>
              <w:tc>
                <w:tcPr>
                  <w:tcW w:w="280"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291"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83"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189" w:type="pct"/>
                  <w:gridSpan w:val="2"/>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220"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106</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24.5 </w:t>
                  </w:r>
                </w:p>
              </w:tc>
              <w:tc>
                <w:tcPr>
                  <w:tcW w:w="394" w:type="pct"/>
                  <w:vMerge w:val="restar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8.5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43.4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27.4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55.5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39.5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3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46"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5"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78"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6"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0"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1"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3"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89" w:type="pct"/>
                  <w:gridSpan w:val="2"/>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0"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87"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2"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19</w:t>
                  </w:r>
                </w:p>
              </w:tc>
              <w:tc>
                <w:tcPr>
                  <w:tcW w:w="358" w:type="pct"/>
                  <w:gridSpan w:val="2"/>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39.4 </w:t>
                  </w:r>
                </w:p>
              </w:tc>
              <w:tc>
                <w:tcPr>
                  <w:tcW w:w="394" w:type="pct"/>
                  <w:vMerge w:val="continue"/>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60"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373" w:type="pct"/>
                  <w:vAlign w:val="center"/>
                </w:tcPr>
                <w:p>
                  <w:pPr>
                    <w:pStyle w:val="35"/>
                    <w:keepNext w:val="0"/>
                    <w:keepLines w:val="0"/>
                    <w:pageBreakBefore w:val="0"/>
                    <w:widowControl w:val="0"/>
                    <w:kinsoku/>
                    <w:wordWrap/>
                    <w:overflowPunct/>
                    <w:topLinePunct w:val="0"/>
                    <w:autoSpaceDE w:val="0"/>
                    <w:autoSpaceDN w:val="0"/>
                    <w:bidi w:val="0"/>
                    <w:adjustRightInd/>
                    <w:snapToGrid w:val="0"/>
                    <w:spacing w:before="23" w:beforeLines="7" w:after="23" w:afterLines="7"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 xml:space="preserve">23.4 </w:t>
                  </w:r>
                </w:p>
              </w:tc>
              <w:tc>
                <w:tcPr>
                  <w:tcW w:w="455" w:type="pct"/>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23"/>
                  <w:vAlign w:val="center"/>
                </w:tcPr>
                <w:p>
                  <w:pPr>
                    <w:keepNext w:val="0"/>
                    <w:keepLines w:val="0"/>
                    <w:pageBreakBefore w:val="0"/>
                    <w:widowControl/>
                    <w:suppressLineNumbers w:val="0"/>
                    <w:kinsoku/>
                    <w:wordWrap/>
                    <w:overflowPunct/>
                    <w:topLinePunct w:val="0"/>
                    <w:autoSpaceDE w:val="0"/>
                    <w:autoSpaceDN w:val="0"/>
                    <w:bidi w:val="0"/>
                    <w:adjustRightInd/>
                    <w:spacing w:before="23" w:beforeLines="7" w:after="23" w:afterLines="7" w:line="240" w:lineRule="auto"/>
                    <w:ind w:left="0" w:leftChars="0" w:right="0" w:rightChars="0" w:firstLine="0" w:firstLineChars="0"/>
                    <w:jc w:val="left"/>
                    <w:textAlignment w:val="bottom"/>
                    <w:rPr>
                      <w:rFonts w:hint="eastAsia" w:cs="Times New Roman"/>
                      <w:i w:val="0"/>
                      <w:iCs w:val="0"/>
                      <w:color w:val="auto"/>
                      <w:kern w:val="0"/>
                      <w:sz w:val="22"/>
                      <w:szCs w:val="22"/>
                      <w:highlight w:val="none"/>
                      <w:u w:val="none"/>
                      <w:lang w:val="en-US" w:eastAsia="zh-CN" w:bidi="ar"/>
                    </w:rPr>
                  </w:pPr>
                  <w:r>
                    <w:rPr>
                      <w:rFonts w:hint="eastAsia" w:cs="Times New Roman"/>
                      <w:b/>
                      <w:bCs/>
                      <w:i w:val="0"/>
                      <w:iCs w:val="0"/>
                      <w:color w:val="auto"/>
                      <w:kern w:val="0"/>
                      <w:sz w:val="22"/>
                      <w:szCs w:val="22"/>
                      <w:highlight w:val="none"/>
                      <w:u w:val="none"/>
                      <w:lang w:val="en-US" w:eastAsia="zh-CN" w:bidi="ar"/>
                    </w:rPr>
                    <w:t>注：生产车间西南角坐标为（0,0,0）。</w:t>
                  </w:r>
                </w:p>
              </w:tc>
            </w:tr>
          </w:tbl>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tc>
      </w:tr>
    </w:tbl>
    <w:p>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tcPr>
          <w:p>
            <w:pPr>
              <w:rPr>
                <w:color w:val="auto"/>
                <w:highlight w:val="none"/>
                <w:vertAlign w:val="baseline"/>
              </w:rPr>
            </w:pPr>
          </w:p>
        </w:tc>
        <w:tc>
          <w:tcPr>
            <w:tcW w:w="8612" w:type="dxa"/>
            <w:tcBorders>
              <w:tl2br w:val="nil"/>
              <w:tr2bl w:val="nil"/>
            </w:tcBorders>
          </w:tcPr>
          <w:p>
            <w:pPr>
              <w:numPr>
                <w:ilvl w:val="0"/>
                <w:numId w:val="31"/>
              </w:numPr>
              <w:autoSpaceDE w:val="0"/>
              <w:autoSpaceDN w:val="0"/>
              <w:adjustRightInd w:val="0"/>
              <w:spacing w:line="480" w:lineRule="exact"/>
              <w:rPr>
                <w:rFonts w:hint="eastAsia"/>
                <w:color w:val="auto"/>
                <w:sz w:val="24"/>
                <w:highlight w:val="none"/>
                <w:lang w:val="zh-CN"/>
              </w:rPr>
            </w:pPr>
            <w:r>
              <w:rPr>
                <w:rFonts w:hint="eastAsia"/>
                <w:color w:val="auto"/>
                <w:sz w:val="24"/>
                <w:highlight w:val="none"/>
                <w:lang w:val="zh-CN"/>
              </w:rPr>
              <w:t>噪声预测</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9"/>
              <w:rPr>
                <w:color w:val="auto"/>
                <w:sz w:val="24"/>
                <w:highlight w:val="none"/>
              </w:rPr>
            </w:pPr>
            <w:r>
              <w:rPr>
                <w:rFonts w:cs="宋体"/>
                <w:color w:val="auto"/>
                <w:sz w:val="24"/>
                <w:highlight w:val="none"/>
              </w:rPr>
              <w:t>预测模</w:t>
            </w:r>
            <w:r>
              <w:rPr>
                <w:rFonts w:hint="eastAsia" w:cs="宋体"/>
                <w:color w:val="auto"/>
                <w:sz w:val="24"/>
                <w:highlight w:val="none"/>
                <w:lang w:val="en-US" w:eastAsia="zh-CN"/>
              </w:rPr>
              <w:t>型</w:t>
            </w:r>
            <w:r>
              <w:rPr>
                <w:rFonts w:cs="宋体"/>
                <w:color w:val="auto"/>
                <w:sz w:val="24"/>
                <w:highlight w:val="none"/>
              </w:rPr>
              <w:t>采用《环境影响评价技术导则</w:t>
            </w:r>
            <w:r>
              <w:rPr>
                <w:rFonts w:hint="eastAsia" w:cs="宋体"/>
                <w:color w:val="auto"/>
                <w:sz w:val="24"/>
                <w:highlight w:val="none"/>
                <w:lang w:val="en-US" w:eastAsia="zh-CN"/>
              </w:rPr>
              <w:t xml:space="preserve"> 声环境</w:t>
            </w:r>
            <w:r>
              <w:rPr>
                <w:rFonts w:cs="宋体"/>
                <w:color w:val="auto"/>
                <w:sz w:val="24"/>
                <w:highlight w:val="none"/>
              </w:rPr>
              <w:t>》（</w:t>
            </w:r>
            <w:r>
              <w:rPr>
                <w:color w:val="auto"/>
                <w:sz w:val="24"/>
                <w:highlight w:val="none"/>
              </w:rPr>
              <w:t>HJ2.4-</w:t>
            </w:r>
            <w:r>
              <w:rPr>
                <w:rFonts w:hint="eastAsia"/>
                <w:color w:val="auto"/>
                <w:sz w:val="24"/>
                <w:highlight w:val="none"/>
                <w:lang w:val="en-US" w:eastAsia="zh-CN"/>
              </w:rPr>
              <w:t>2021</w:t>
            </w:r>
            <w:r>
              <w:rPr>
                <w:rFonts w:cs="宋体"/>
                <w:color w:val="auto"/>
                <w:sz w:val="24"/>
                <w:highlight w:val="none"/>
              </w:rPr>
              <w:t>）中</w:t>
            </w:r>
            <w:r>
              <w:rPr>
                <w:rFonts w:hint="eastAsia" w:cs="宋体"/>
                <w:color w:val="auto"/>
                <w:sz w:val="24"/>
                <w:highlight w:val="none"/>
                <w:lang w:val="en-US" w:eastAsia="zh-CN"/>
              </w:rPr>
              <w:t>附录A和附录B</w:t>
            </w:r>
            <w:r>
              <w:rPr>
                <w:rFonts w:cs="宋体"/>
                <w:color w:val="auto"/>
                <w:sz w:val="24"/>
                <w:highlight w:val="none"/>
              </w:rPr>
              <w:t>推荐的工业噪声预测模</w:t>
            </w:r>
            <w:r>
              <w:rPr>
                <w:rFonts w:hint="eastAsia" w:cs="宋体"/>
                <w:color w:val="auto"/>
                <w:sz w:val="24"/>
                <w:highlight w:val="none"/>
                <w:lang w:val="en-US" w:eastAsia="zh-CN"/>
              </w:rPr>
              <w:t>型</w:t>
            </w:r>
            <w:r>
              <w:rPr>
                <w:rFonts w:cs="宋体"/>
                <w:color w:val="auto"/>
                <w:sz w:val="24"/>
                <w:highlight w:val="none"/>
              </w:rPr>
              <w:t>。预测计算只考虑工程各声源所在厂房围护结构的屏蔽效应和声源至受声点的几何发散衰减，不考虑空气吸收及影响较小的附加衰减。</w:t>
            </w:r>
          </w:p>
          <w:p>
            <w:pPr>
              <w:spacing w:line="480" w:lineRule="exact"/>
              <w:ind w:firstLine="425"/>
              <w:rPr>
                <w:color w:val="auto"/>
                <w:sz w:val="24"/>
                <w:highlight w:val="none"/>
              </w:rPr>
            </w:pPr>
            <w:r>
              <w:rPr>
                <w:rFonts w:cs="宋体"/>
                <w:color w:val="auto"/>
                <w:sz w:val="24"/>
                <w:highlight w:val="none"/>
              </w:rPr>
              <w:t>采用预测模式如下：</w:t>
            </w:r>
          </w:p>
          <w:p>
            <w:pPr>
              <w:spacing w:line="480" w:lineRule="exact"/>
              <w:ind w:firstLine="425"/>
              <w:rPr>
                <w:color w:val="auto"/>
                <w:sz w:val="24"/>
                <w:highlight w:val="none"/>
              </w:rPr>
            </w:pPr>
            <w:r>
              <w:rPr>
                <w:snapToGrid w:val="0"/>
                <w:color w:val="auto"/>
                <w:sz w:val="24"/>
                <w:highlight w:val="none"/>
              </w:rPr>
              <w:fldChar w:fldCharType="begin"/>
            </w:r>
            <w:r>
              <w:rPr>
                <w:snapToGrid w:val="0"/>
                <w:color w:val="auto"/>
                <w:sz w:val="24"/>
                <w:highlight w:val="none"/>
              </w:rPr>
              <w:instrText xml:space="preserve"> = 1 \* GB3 </w:instrText>
            </w:r>
            <w:r>
              <w:rPr>
                <w:snapToGrid w:val="0"/>
                <w:color w:val="auto"/>
                <w:sz w:val="24"/>
                <w:highlight w:val="none"/>
              </w:rPr>
              <w:fldChar w:fldCharType="separate"/>
            </w:r>
            <w:r>
              <w:rPr>
                <w:rFonts w:hint="eastAsia"/>
                <w:snapToGrid w:val="0"/>
                <w:color w:val="auto"/>
                <w:sz w:val="24"/>
                <w:highlight w:val="none"/>
              </w:rPr>
              <w:t>①</w:t>
            </w:r>
            <w:r>
              <w:rPr>
                <w:snapToGrid w:val="0"/>
                <w:color w:val="auto"/>
                <w:sz w:val="24"/>
                <w:highlight w:val="none"/>
              </w:rPr>
              <w:fldChar w:fldCharType="end"/>
            </w:r>
            <w:r>
              <w:rPr>
                <w:rFonts w:cs="宋体"/>
                <w:color w:val="auto"/>
                <w:sz w:val="24"/>
                <w:highlight w:val="none"/>
              </w:rPr>
              <w:t>室内声源等效室外声源声功率级计算</w:t>
            </w:r>
          </w:p>
          <w:p>
            <w:pPr>
              <w:spacing w:line="480" w:lineRule="exact"/>
              <w:ind w:firstLine="3480" w:firstLineChars="1450"/>
              <w:rPr>
                <w:color w:val="auto"/>
                <w:sz w:val="24"/>
                <w:highlight w:val="none"/>
              </w:rPr>
            </w:pPr>
            <w:r>
              <w:rPr>
                <w:color w:val="auto"/>
                <w:sz w:val="24"/>
                <w:highlight w:val="none"/>
              </w:rPr>
              <w:t>L</w:t>
            </w:r>
            <w:r>
              <w:rPr>
                <w:color w:val="auto"/>
                <w:sz w:val="24"/>
                <w:highlight w:val="none"/>
                <w:vertAlign w:val="subscript"/>
              </w:rPr>
              <w:t>P2</w:t>
            </w:r>
            <w:r>
              <w:rPr>
                <w:color w:val="auto"/>
                <w:sz w:val="24"/>
                <w:highlight w:val="none"/>
              </w:rPr>
              <w:t>=L</w:t>
            </w:r>
            <w:r>
              <w:rPr>
                <w:color w:val="auto"/>
                <w:sz w:val="24"/>
                <w:highlight w:val="none"/>
                <w:vertAlign w:val="subscript"/>
              </w:rPr>
              <w:t>P1</w:t>
            </w:r>
            <w:r>
              <w:rPr>
                <w:rFonts w:hint="eastAsia" w:cs="宋体"/>
                <w:color w:val="auto"/>
                <w:sz w:val="24"/>
                <w:highlight w:val="none"/>
                <w:lang w:val="en-US" w:eastAsia="zh-CN"/>
              </w:rPr>
              <w:t>-</w:t>
            </w:r>
            <w:r>
              <w:rPr>
                <w:rFonts w:hint="eastAsia"/>
                <w:color w:val="auto"/>
                <w:sz w:val="24"/>
                <w:highlight w:val="none"/>
              </w:rPr>
              <w:t>（</w:t>
            </w:r>
            <w:r>
              <w:rPr>
                <w:color w:val="auto"/>
                <w:sz w:val="24"/>
                <w:highlight w:val="none"/>
              </w:rPr>
              <w:t>TL+6</w:t>
            </w:r>
            <w:r>
              <w:rPr>
                <w:rFonts w:hint="eastAsia"/>
                <w:color w:val="auto"/>
                <w:sz w:val="24"/>
                <w:highlight w:val="none"/>
              </w:rPr>
              <w:t>）</w:t>
            </w:r>
          </w:p>
          <w:p>
            <w:pPr>
              <w:spacing w:line="480" w:lineRule="exact"/>
              <w:ind w:firstLine="480" w:firstLineChars="200"/>
              <w:rPr>
                <w:color w:val="auto"/>
                <w:sz w:val="24"/>
                <w:highlight w:val="none"/>
              </w:rPr>
            </w:pPr>
            <w:r>
              <w:rPr>
                <w:rFonts w:cs="宋体"/>
                <w:color w:val="auto"/>
                <w:sz w:val="24"/>
                <w:highlight w:val="none"/>
              </w:rPr>
              <w:t>式中：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L</w:t>
            </w:r>
            <w:r>
              <w:rPr>
                <w:color w:val="auto"/>
                <w:sz w:val="24"/>
                <w:highlight w:val="none"/>
                <w:vertAlign w:val="subscript"/>
              </w:rPr>
              <w:t>P1</w:t>
            </w:r>
            <w:r>
              <w:rPr>
                <w:color w:val="auto"/>
                <w:sz w:val="24"/>
                <w:highlight w:val="none"/>
              </w:rPr>
              <w:t>—</w:t>
            </w:r>
            <w:r>
              <w:rPr>
                <w:rFonts w:cs="宋体"/>
                <w:color w:val="auto"/>
                <w:sz w:val="24"/>
                <w:highlight w:val="none"/>
              </w:rPr>
              <w:t>靠近开口处（或窗户）室内某倍频带</w:t>
            </w:r>
            <w:r>
              <w:rPr>
                <w:rFonts w:hint="eastAsia" w:cs="宋体"/>
                <w:color w:val="auto"/>
                <w:sz w:val="24"/>
                <w:highlight w:val="none"/>
                <w:lang w:val="en-US" w:eastAsia="zh-CN"/>
              </w:rPr>
              <w:t>的</w:t>
            </w:r>
            <w:r>
              <w:rPr>
                <w:rFonts w:cs="宋体"/>
                <w:color w:val="auto"/>
                <w:sz w:val="24"/>
                <w:highlight w:val="none"/>
              </w:rPr>
              <w:t>声压级</w:t>
            </w:r>
            <w:r>
              <w:rPr>
                <w:rFonts w:hint="eastAsia" w:cs="宋体"/>
                <w:color w:val="auto"/>
                <w:sz w:val="24"/>
                <w:highlight w:val="none"/>
                <w:lang w:val="en-US" w:eastAsia="zh-CN"/>
              </w:rPr>
              <w:t>或A声级</w:t>
            </w:r>
            <w:r>
              <w:rPr>
                <w:rFonts w:cs="宋体"/>
                <w:color w:val="auto"/>
                <w:sz w:val="24"/>
                <w:highlight w:val="none"/>
              </w:rPr>
              <w:t>，</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L</w:t>
            </w:r>
            <w:r>
              <w:rPr>
                <w:color w:val="auto"/>
                <w:sz w:val="24"/>
                <w:highlight w:val="none"/>
                <w:vertAlign w:val="subscript"/>
              </w:rPr>
              <w:t>P2</w:t>
            </w:r>
            <w:r>
              <w:rPr>
                <w:color w:val="auto"/>
                <w:sz w:val="24"/>
                <w:highlight w:val="none"/>
              </w:rPr>
              <w:t>—</w:t>
            </w:r>
            <w:r>
              <w:rPr>
                <w:rFonts w:cs="宋体"/>
                <w:color w:val="auto"/>
                <w:sz w:val="24"/>
                <w:highlight w:val="none"/>
              </w:rPr>
              <w:t>靠近开口处（或窗户）室外某倍频带</w:t>
            </w:r>
            <w:r>
              <w:rPr>
                <w:rFonts w:hint="eastAsia" w:cs="宋体"/>
                <w:color w:val="auto"/>
                <w:sz w:val="24"/>
                <w:highlight w:val="none"/>
                <w:lang w:val="en-US" w:eastAsia="zh-CN"/>
              </w:rPr>
              <w:t>的</w:t>
            </w:r>
            <w:r>
              <w:rPr>
                <w:rFonts w:cs="宋体"/>
                <w:color w:val="auto"/>
                <w:sz w:val="24"/>
                <w:highlight w:val="none"/>
              </w:rPr>
              <w:t>声压级</w:t>
            </w:r>
            <w:r>
              <w:rPr>
                <w:rFonts w:hint="eastAsia" w:cs="宋体"/>
                <w:color w:val="auto"/>
                <w:sz w:val="24"/>
                <w:highlight w:val="none"/>
                <w:lang w:val="en-US" w:eastAsia="zh-CN"/>
              </w:rPr>
              <w:t>或A声级</w:t>
            </w:r>
            <w:r>
              <w:rPr>
                <w:rFonts w:cs="宋体"/>
                <w:color w:val="auto"/>
                <w:sz w:val="24"/>
                <w:highlight w:val="none"/>
              </w:rPr>
              <w:t>，</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TL—</w:t>
            </w:r>
            <w:r>
              <w:rPr>
                <w:rFonts w:cs="宋体"/>
                <w:color w:val="auto"/>
                <w:sz w:val="24"/>
                <w:highlight w:val="none"/>
              </w:rPr>
              <w:t>隔墙（或窗户）倍频带</w:t>
            </w:r>
            <w:r>
              <w:rPr>
                <w:rFonts w:hint="eastAsia" w:cs="宋体"/>
                <w:color w:val="auto"/>
                <w:sz w:val="24"/>
                <w:highlight w:val="none"/>
                <w:lang w:val="en-US" w:eastAsia="zh-CN"/>
              </w:rPr>
              <w:t>或A声级</w:t>
            </w:r>
            <w:r>
              <w:rPr>
                <w:rFonts w:cs="宋体"/>
                <w:color w:val="auto"/>
                <w:sz w:val="24"/>
                <w:highlight w:val="none"/>
              </w:rPr>
              <w:t>的隔声量，</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宋体"/>
                <w:color w:val="auto"/>
                <w:sz w:val="24"/>
                <w:highlight w:val="none"/>
                <w:lang w:eastAsia="zh-CN"/>
              </w:rPr>
            </w:pPr>
            <w:r>
              <w:rPr>
                <w:rFonts w:hint="eastAsia" w:eastAsia="宋体" w:cs="宋体"/>
                <w:color w:val="auto"/>
                <w:position w:val="-24"/>
                <w:sz w:val="24"/>
                <w:highlight w:val="none"/>
                <w:lang w:eastAsia="zh-CN"/>
              </w:rPr>
              <w:object>
                <v:shape id="_x0000_i1025" o:spt="75" type="#_x0000_t75" style="height:31pt;width:168.05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rFonts w:cs="宋体"/>
                <w:color w:val="auto"/>
                <w:sz w:val="24"/>
                <w:highlight w:val="none"/>
              </w:rPr>
              <w:t>式中：</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color w:val="auto"/>
                <w:sz w:val="24"/>
                <w:highlight w:val="none"/>
              </w:rPr>
              <w:t>Q—</w:t>
            </w:r>
            <w:r>
              <w:rPr>
                <w:rFonts w:cs="宋体"/>
                <w:color w:val="auto"/>
                <w:sz w:val="24"/>
                <w:highlight w:val="none"/>
              </w:rPr>
              <w:t>指向因数；通常对无指向性声源，当声源放在房间中心时，</w:t>
            </w:r>
            <w:r>
              <w:rPr>
                <w:color w:val="auto"/>
                <w:sz w:val="24"/>
                <w:highlight w:val="none"/>
              </w:rPr>
              <w:t>Q=1</w:t>
            </w:r>
            <w:r>
              <w:rPr>
                <w:rFonts w:cs="宋体"/>
                <w:color w:val="auto"/>
                <w:sz w:val="24"/>
                <w:highlight w:val="none"/>
              </w:rPr>
              <w:t>；当放在一面墙的中心时，</w:t>
            </w:r>
            <w:r>
              <w:rPr>
                <w:color w:val="auto"/>
                <w:sz w:val="24"/>
                <w:highlight w:val="none"/>
              </w:rPr>
              <w:t>Q=2</w:t>
            </w:r>
            <w:r>
              <w:rPr>
                <w:rFonts w:cs="宋体"/>
                <w:color w:val="auto"/>
                <w:sz w:val="24"/>
                <w:highlight w:val="none"/>
              </w:rPr>
              <w:t>；当放在两面墙夹角处时，</w:t>
            </w:r>
            <w:r>
              <w:rPr>
                <w:color w:val="auto"/>
                <w:sz w:val="24"/>
                <w:highlight w:val="none"/>
              </w:rPr>
              <w:t>Q=4</w:t>
            </w:r>
            <w:r>
              <w:rPr>
                <w:rFonts w:cs="宋体"/>
                <w:color w:val="auto"/>
                <w:sz w:val="24"/>
                <w:highlight w:val="none"/>
              </w:rPr>
              <w:t>；当放在三面墙夹角处时，</w:t>
            </w:r>
            <w:r>
              <w:rPr>
                <w:color w:val="auto"/>
                <w:sz w:val="24"/>
                <w:highlight w:val="none"/>
              </w:rPr>
              <w:t>Q=8</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eastAsia="宋体"/>
                <w:color w:val="auto"/>
                <w:sz w:val="24"/>
                <w:highlight w:val="none"/>
                <w:vertAlign w:val="baseline"/>
                <w:lang w:val="en-US" w:eastAsia="zh-CN"/>
              </w:rPr>
            </w:pPr>
            <w:r>
              <w:rPr>
                <w:rFonts w:hint="eastAsia"/>
                <w:color w:val="auto"/>
                <w:sz w:val="24"/>
                <w:highlight w:val="none"/>
                <w:lang w:val="en-US" w:eastAsia="zh-CN"/>
              </w:rPr>
              <w:t>L</w:t>
            </w:r>
            <w:r>
              <w:rPr>
                <w:rFonts w:hint="eastAsia"/>
                <w:color w:val="auto"/>
                <w:sz w:val="24"/>
                <w:highlight w:val="none"/>
                <w:vertAlign w:val="subscript"/>
                <w:lang w:val="en-US" w:eastAsia="zh-CN"/>
              </w:rPr>
              <w:t>w</w:t>
            </w:r>
            <w:r>
              <w:rPr>
                <w:color w:val="auto"/>
                <w:sz w:val="24"/>
                <w:highlight w:val="none"/>
              </w:rPr>
              <w:t>—</w:t>
            </w:r>
            <w:r>
              <w:rPr>
                <w:rFonts w:hint="eastAsia"/>
                <w:color w:val="auto"/>
                <w:sz w:val="24"/>
                <w:highlight w:val="none"/>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color w:val="auto"/>
                <w:sz w:val="24"/>
                <w:highlight w:val="none"/>
              </w:rPr>
              <w:t>R—</w:t>
            </w:r>
            <w:r>
              <w:rPr>
                <w:rFonts w:cs="宋体"/>
                <w:color w:val="auto"/>
                <w:sz w:val="24"/>
                <w:highlight w:val="none"/>
              </w:rPr>
              <w:t>房间常数，</w:t>
            </w:r>
            <w:r>
              <w:rPr>
                <w:color w:val="auto"/>
                <w:sz w:val="24"/>
                <w:highlight w:val="none"/>
              </w:rPr>
              <w:t>R=Sα</w:t>
            </w:r>
            <w:r>
              <w:rPr>
                <w:rFonts w:hint="eastAsia"/>
                <w:color w:val="auto"/>
                <w:sz w:val="24"/>
                <w:highlight w:val="none"/>
                <w:lang w:val="en-US" w:eastAsia="zh-CN"/>
              </w:rPr>
              <w:t>/</w:t>
            </w:r>
            <w:r>
              <w:rPr>
                <w:rFonts w:cs="宋体"/>
                <w:color w:val="auto"/>
                <w:sz w:val="24"/>
                <w:highlight w:val="none"/>
              </w:rPr>
              <w:t>（</w:t>
            </w:r>
            <w:r>
              <w:rPr>
                <w:color w:val="auto"/>
                <w:sz w:val="24"/>
                <w:highlight w:val="none"/>
              </w:rPr>
              <w:t>1</w:t>
            </w:r>
            <w:r>
              <w:rPr>
                <w:rFonts w:hint="eastAsia" w:cs="宋体"/>
                <w:color w:val="auto"/>
                <w:sz w:val="24"/>
                <w:highlight w:val="none"/>
                <w:lang w:val="en-US" w:eastAsia="zh-CN"/>
              </w:rPr>
              <w:t>-</w:t>
            </w:r>
            <w:r>
              <w:rPr>
                <w:color w:val="auto"/>
                <w:sz w:val="24"/>
                <w:highlight w:val="none"/>
              </w:rPr>
              <w:t>α</w:t>
            </w:r>
            <w:r>
              <w:rPr>
                <w:rFonts w:cs="宋体"/>
                <w:color w:val="auto"/>
                <w:sz w:val="24"/>
                <w:highlight w:val="none"/>
              </w:rPr>
              <w:t>），</w:t>
            </w:r>
            <w:r>
              <w:rPr>
                <w:color w:val="auto"/>
                <w:sz w:val="24"/>
                <w:highlight w:val="none"/>
              </w:rPr>
              <w:t>S</w:t>
            </w:r>
            <w:r>
              <w:rPr>
                <w:rFonts w:cs="宋体"/>
                <w:color w:val="auto"/>
                <w:sz w:val="24"/>
                <w:highlight w:val="none"/>
              </w:rPr>
              <w:t>为房间内表面面积，</w:t>
            </w:r>
            <w:r>
              <w:rPr>
                <w:color w:val="auto"/>
                <w:sz w:val="24"/>
                <w:highlight w:val="none"/>
              </w:rPr>
              <w:t>m</w:t>
            </w:r>
            <w:r>
              <w:rPr>
                <w:color w:val="auto"/>
                <w:sz w:val="24"/>
                <w:highlight w:val="none"/>
                <w:vertAlign w:val="superscript"/>
              </w:rPr>
              <w:t>2</w:t>
            </w:r>
            <w:r>
              <w:rPr>
                <w:rFonts w:cs="宋体"/>
                <w:color w:val="auto"/>
                <w:sz w:val="24"/>
                <w:highlight w:val="none"/>
              </w:rPr>
              <w:t>；</w:t>
            </w:r>
            <w:r>
              <w:rPr>
                <w:color w:val="auto"/>
                <w:sz w:val="24"/>
                <w:highlight w:val="none"/>
              </w:rPr>
              <w:t>α</w:t>
            </w:r>
            <w:r>
              <w:rPr>
                <w:rFonts w:cs="宋体"/>
                <w:color w:val="auto"/>
                <w:sz w:val="24"/>
                <w:highlight w:val="none"/>
              </w:rPr>
              <w:t>为平均吸声系数。</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rFonts w:hint="eastAsia"/>
                <w:color w:val="auto"/>
                <w:sz w:val="24"/>
                <w:highlight w:val="none"/>
                <w:lang w:val="en-US" w:eastAsia="zh-CN"/>
              </w:rPr>
              <w:t>r</w:t>
            </w:r>
            <w:r>
              <w:rPr>
                <w:color w:val="auto"/>
                <w:sz w:val="24"/>
                <w:highlight w:val="none"/>
              </w:rPr>
              <w:t>—</w:t>
            </w:r>
            <w:r>
              <w:rPr>
                <w:rFonts w:cs="宋体"/>
                <w:color w:val="auto"/>
                <w:sz w:val="24"/>
                <w:highlight w:val="none"/>
              </w:rPr>
              <w:t>声源到靠近围护结构某点处的距离，</w:t>
            </w:r>
            <w:r>
              <w:rPr>
                <w:color w:val="auto"/>
                <w:sz w:val="24"/>
                <w:highlight w:val="none"/>
              </w:rPr>
              <w:t>m</w:t>
            </w:r>
            <w:r>
              <w:rPr>
                <w:rFonts w:cs="宋体"/>
                <w:color w:val="auto"/>
                <w:sz w:val="24"/>
                <w:highlight w:val="none"/>
              </w:rPr>
              <w:t>。</w:t>
            </w:r>
          </w:p>
          <w:p>
            <w:pPr>
              <w:pStyle w:val="33"/>
              <w:spacing w:before="0" w:after="0"/>
              <w:ind w:firstLineChars="200"/>
              <w:rPr>
                <w:color w:val="auto"/>
                <w:kern w:val="0"/>
                <w:highlight w:val="none"/>
              </w:rPr>
            </w:pPr>
            <w:r>
              <w:rPr>
                <w:rFonts w:cs="宋体"/>
                <w:color w:val="auto"/>
                <w:kern w:val="0"/>
                <w:highlight w:val="none"/>
              </w:rPr>
              <w:t>②声级计算</w:t>
            </w:r>
          </w:p>
          <w:p>
            <w:pPr>
              <w:pStyle w:val="33"/>
              <w:spacing w:before="0" w:after="0"/>
              <w:ind w:firstLineChars="200"/>
              <w:rPr>
                <w:color w:val="auto"/>
                <w:kern w:val="0"/>
                <w:highlight w:val="none"/>
              </w:rPr>
            </w:pPr>
            <w:r>
              <w:rPr>
                <w:rFonts w:cs="宋体"/>
                <w:color w:val="auto"/>
                <w:kern w:val="0"/>
                <w:highlight w:val="none"/>
              </w:rPr>
              <w:t>建设项目声源在预测点产生的等效声级贡献值</w:t>
            </w:r>
            <w:r>
              <w:rPr>
                <w:rFonts w:hint="eastAsia"/>
                <w:color w:val="auto"/>
                <w:kern w:val="0"/>
                <w:highlight w:val="none"/>
              </w:rPr>
              <w:t>（</w:t>
            </w:r>
            <w:r>
              <w:rPr>
                <w:color w:val="auto"/>
                <w:kern w:val="0"/>
                <w:highlight w:val="none"/>
              </w:rPr>
              <w:t>L</w:t>
            </w:r>
            <w:r>
              <w:rPr>
                <w:i/>
                <w:iCs/>
                <w:color w:val="auto"/>
                <w:kern w:val="0"/>
                <w:highlight w:val="none"/>
              </w:rPr>
              <w:t>eqg</w:t>
            </w:r>
            <w:r>
              <w:rPr>
                <w:rFonts w:hint="eastAsia"/>
                <w:color w:val="auto"/>
                <w:kern w:val="0"/>
                <w:highlight w:val="none"/>
              </w:rPr>
              <w:t>）</w:t>
            </w:r>
            <w:r>
              <w:rPr>
                <w:rFonts w:cs="宋体"/>
                <w:color w:val="auto"/>
                <w:kern w:val="0"/>
                <w:highlight w:val="none"/>
              </w:rPr>
              <w:t>计算公式：</w:t>
            </w:r>
          </w:p>
          <w:p>
            <w:pPr>
              <w:pStyle w:val="33"/>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cs="宋体"/>
                <w:color w:val="auto"/>
                <w:kern w:val="0"/>
                <w:highlight w:val="none"/>
              </w:rPr>
            </w:pPr>
            <w:r>
              <w:rPr>
                <w:color w:val="auto"/>
                <w:kern w:val="0"/>
                <w:position w:val="-36"/>
                <w:highlight w:val="none"/>
              </w:rPr>
              <w:object>
                <v:shape id="_x0000_i1026" o:spt="75" type="#_x0000_t75" style="height:42.2pt;width:205.35pt;" o:ole="t" filled="f" o:preferrelative="f" stroked="f" coordsize="21600,21600">
                  <v:path/>
                  <v:fill on="f" focussize="0,0"/>
                  <v:stroke on="f"/>
                  <v:imagedata r:id="rId20" o:title=""/>
                  <o:lock v:ext="edit" rotation="t" aspectratio="f"/>
                  <w10:wrap type="none"/>
                  <w10:anchorlock/>
                </v:shape>
                <o:OLEObject Type="Embed" ProgID="Equation.3" ShapeID="_x0000_i1026" DrawAspect="Content" ObjectID="_1468075726" r:id="rId19">
                  <o:LockedField>false</o:LockedField>
                </o:OLEObject>
              </w:object>
            </w:r>
          </w:p>
          <w:p>
            <w:pPr>
              <w:pStyle w:val="33"/>
              <w:spacing w:before="0" w:after="0" w:line="480" w:lineRule="exact"/>
              <w:ind w:firstLineChars="200"/>
              <w:rPr>
                <w:color w:val="auto"/>
                <w:kern w:val="0"/>
                <w:highlight w:val="none"/>
              </w:rPr>
            </w:pPr>
            <w:r>
              <w:rPr>
                <w:rFonts w:cs="宋体"/>
                <w:color w:val="auto"/>
                <w:kern w:val="0"/>
                <w:highlight w:val="none"/>
              </w:rPr>
              <w:t>式中：</w:t>
            </w:r>
          </w:p>
          <w:p>
            <w:pPr>
              <w:pStyle w:val="33"/>
              <w:spacing w:before="0" w:after="0" w:line="480" w:lineRule="exact"/>
              <w:ind w:firstLine="425"/>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w:t>
            </w:r>
            <w:r>
              <w:rPr>
                <w:rFonts w:cs="宋体"/>
                <w:color w:val="auto"/>
                <w:kern w:val="0"/>
                <w:highlight w:val="none"/>
              </w:rPr>
              <w:t>建设项目声源在预测点</w:t>
            </w:r>
            <w:r>
              <w:rPr>
                <w:rFonts w:hint="eastAsia" w:cs="宋体"/>
                <w:color w:val="auto"/>
                <w:kern w:val="0"/>
                <w:highlight w:val="none"/>
                <w:lang w:val="en-US" w:eastAsia="zh-CN"/>
              </w:rPr>
              <w:t>产生的噪声</w:t>
            </w:r>
            <w:r>
              <w:rPr>
                <w:rFonts w:cs="宋体"/>
                <w:color w:val="auto"/>
                <w:kern w:val="0"/>
                <w:highlight w:val="none"/>
              </w:rPr>
              <w:t>贡献值，</w:t>
            </w:r>
            <w:r>
              <w:rPr>
                <w:color w:val="auto"/>
                <w:kern w:val="0"/>
                <w:highlight w:val="none"/>
              </w:rPr>
              <w:t>dB</w:t>
            </w:r>
            <w:r>
              <w:rPr>
                <w:rFonts w:cs="宋体"/>
                <w:color w:val="auto"/>
                <w:kern w:val="0"/>
                <w:highlight w:val="none"/>
              </w:rPr>
              <w:t>；</w:t>
            </w:r>
          </w:p>
          <w:p>
            <w:pPr>
              <w:pStyle w:val="33"/>
              <w:spacing w:before="0" w:after="0" w:line="480" w:lineRule="exact"/>
              <w:ind w:firstLine="425"/>
              <w:rPr>
                <w:rFonts w:hint="eastAsia"/>
                <w:color w:val="auto"/>
                <w:kern w:val="0"/>
                <w:highlight w:val="none"/>
                <w:lang w:val="en-US" w:eastAsia="zh-CN"/>
              </w:rPr>
            </w:pPr>
            <w:r>
              <w:rPr>
                <w:rFonts w:hint="eastAsia"/>
                <w:i/>
                <w:iCs/>
                <w:color w:val="auto"/>
                <w:kern w:val="0"/>
                <w:highlight w:val="none"/>
                <w:lang w:val="en-US" w:eastAsia="zh-CN"/>
              </w:rPr>
              <w:t>T</w:t>
            </w:r>
            <w:r>
              <w:rPr>
                <w:color w:val="auto"/>
                <w:kern w:val="0"/>
                <w:highlight w:val="none"/>
              </w:rPr>
              <w:t>—</w:t>
            </w:r>
            <w:r>
              <w:rPr>
                <w:rFonts w:hint="eastAsia"/>
                <w:color w:val="auto"/>
                <w:kern w:val="0"/>
                <w:highlight w:val="none"/>
                <w:lang w:val="en-US" w:eastAsia="zh-CN"/>
              </w:rPr>
              <w:t>用于计算等效声级的时间，s；</w:t>
            </w:r>
          </w:p>
          <w:p>
            <w:pPr>
              <w:rPr>
                <w:rFonts w:hint="eastAsia"/>
                <w:color w:val="auto"/>
                <w:kern w:val="0"/>
                <w:highlight w:val="none"/>
                <w:lang w:val="en-US" w:eastAsia="zh-CN"/>
              </w:rPr>
            </w:pPr>
            <w:r>
              <w:rPr>
                <w:rFonts w:hint="eastAsia"/>
                <w:color w:val="auto"/>
                <w:kern w:val="0"/>
                <w:highlight w:val="none"/>
                <w:lang w:val="en-US" w:eastAsia="zh-CN"/>
              </w:rPr>
              <w:t>N</w:t>
            </w:r>
            <w:r>
              <w:rPr>
                <w:color w:val="auto"/>
                <w:kern w:val="0"/>
                <w:highlight w:val="none"/>
              </w:rPr>
              <w:t>—</w:t>
            </w:r>
            <w:r>
              <w:rPr>
                <w:rFonts w:hint="eastAsia"/>
                <w:color w:val="auto"/>
                <w:kern w:val="0"/>
                <w:highlight w:val="none"/>
                <w:lang w:val="en-US" w:eastAsia="zh-CN"/>
              </w:rPr>
              <w:t>室外声源个数；</w:t>
            </w:r>
          </w:p>
          <w:p>
            <w:pPr>
              <w:pStyle w:val="33"/>
              <w:spacing w:before="0" w:after="0" w:line="480" w:lineRule="exact"/>
              <w:ind w:firstLineChars="200"/>
              <w:rPr>
                <w:rFonts w:hint="eastAsia"/>
                <w:color w:val="auto"/>
                <w:kern w:val="0"/>
                <w:highlight w:val="none"/>
                <w:lang w:eastAsia="zh-CN"/>
              </w:rPr>
            </w:pPr>
            <w:r>
              <w:rPr>
                <w:color w:val="auto"/>
                <w:kern w:val="0"/>
                <w:highlight w:val="none"/>
              </w:rPr>
              <w:t>t</w:t>
            </w:r>
            <w:r>
              <w:rPr>
                <w:color w:val="auto"/>
                <w:kern w:val="0"/>
                <w:highlight w:val="none"/>
                <w:vertAlign w:val="subscript"/>
              </w:rPr>
              <w:t>i</w:t>
            </w:r>
            <w:r>
              <w:rPr>
                <w:color w:val="auto"/>
                <w:kern w:val="0"/>
                <w:highlight w:val="none"/>
              </w:rPr>
              <w:t xml:space="preserve">— </w:t>
            </w:r>
            <w:r>
              <w:rPr>
                <w:rFonts w:cs="宋体"/>
                <w:color w:val="auto"/>
                <w:kern w:val="0"/>
                <w:highlight w:val="none"/>
              </w:rPr>
              <w:t>在</w:t>
            </w:r>
            <w:r>
              <w:rPr>
                <w:color w:val="auto"/>
                <w:kern w:val="0"/>
                <w:highlight w:val="none"/>
              </w:rPr>
              <w:t>T</w:t>
            </w:r>
            <w:r>
              <w:rPr>
                <w:rFonts w:hint="eastAsia"/>
                <w:color w:val="auto"/>
                <w:kern w:val="0"/>
                <w:highlight w:val="none"/>
                <w:lang w:val="en-US" w:eastAsia="zh-CN"/>
              </w:rPr>
              <w:t>时间内i声源工作</w:t>
            </w:r>
            <w:r>
              <w:rPr>
                <w:rFonts w:cs="宋体"/>
                <w:color w:val="auto"/>
                <w:kern w:val="0"/>
                <w:highlight w:val="none"/>
              </w:rPr>
              <w:t>时间，</w:t>
            </w:r>
            <w:r>
              <w:rPr>
                <w:color w:val="auto"/>
                <w:kern w:val="0"/>
                <w:highlight w:val="none"/>
              </w:rPr>
              <w:t>s</w:t>
            </w:r>
            <w:r>
              <w:rPr>
                <w:rFonts w:hint="eastAsia"/>
                <w:color w:val="auto"/>
                <w:kern w:val="0"/>
                <w:highlight w:val="none"/>
                <w:lang w:eastAsia="zh-CN"/>
              </w:rPr>
              <w:t>；</w:t>
            </w:r>
          </w:p>
          <w:p>
            <w:pPr>
              <w:pStyle w:val="33"/>
              <w:spacing w:before="0" w:after="0" w:line="480" w:lineRule="exact"/>
              <w:ind w:firstLineChars="200"/>
              <w:rPr>
                <w:rFonts w:hint="eastAsia"/>
                <w:color w:val="auto"/>
                <w:kern w:val="0"/>
                <w:highlight w:val="none"/>
                <w:lang w:val="en-US" w:eastAsia="zh-CN"/>
              </w:rPr>
            </w:pPr>
            <w:r>
              <w:rPr>
                <w:rFonts w:hint="eastAsia"/>
                <w:color w:val="auto"/>
                <w:kern w:val="0"/>
                <w:highlight w:val="none"/>
                <w:lang w:val="en-US" w:eastAsia="zh-CN"/>
              </w:rPr>
              <w:t>M</w:t>
            </w:r>
            <w:r>
              <w:rPr>
                <w:color w:val="auto"/>
                <w:kern w:val="0"/>
                <w:highlight w:val="none"/>
              </w:rPr>
              <w:t>—</w:t>
            </w:r>
            <w:r>
              <w:rPr>
                <w:rFonts w:hint="eastAsia"/>
                <w:color w:val="auto"/>
                <w:kern w:val="0"/>
                <w:highlight w:val="none"/>
                <w:lang w:val="en-US" w:eastAsia="zh-CN"/>
              </w:rPr>
              <w:t>等效室外声源个数；</w:t>
            </w:r>
          </w:p>
          <w:p>
            <w:pPr>
              <w:pStyle w:val="33"/>
              <w:spacing w:before="0" w:after="0" w:line="480" w:lineRule="exact"/>
              <w:ind w:firstLineChars="200"/>
              <w:rPr>
                <w:color w:val="auto"/>
                <w:kern w:val="0"/>
                <w:highlight w:val="none"/>
              </w:rPr>
            </w:pPr>
            <w:r>
              <w:rPr>
                <w:color w:val="auto"/>
                <w:kern w:val="0"/>
                <w:highlight w:val="none"/>
              </w:rPr>
              <w:t>t</w:t>
            </w:r>
            <w:r>
              <w:rPr>
                <w:rFonts w:hint="eastAsia"/>
                <w:color w:val="auto"/>
                <w:kern w:val="0"/>
                <w:highlight w:val="none"/>
                <w:vertAlign w:val="subscript"/>
                <w:lang w:val="en-US" w:eastAsia="zh-CN"/>
              </w:rPr>
              <w:t>j</w:t>
            </w:r>
            <w:r>
              <w:rPr>
                <w:color w:val="auto"/>
                <w:kern w:val="0"/>
                <w:highlight w:val="none"/>
              </w:rPr>
              <w:t>—</w:t>
            </w:r>
            <w:r>
              <w:rPr>
                <w:rFonts w:cs="宋体"/>
                <w:color w:val="auto"/>
                <w:kern w:val="0"/>
                <w:highlight w:val="none"/>
              </w:rPr>
              <w:t>在</w:t>
            </w:r>
            <w:r>
              <w:rPr>
                <w:color w:val="auto"/>
                <w:kern w:val="0"/>
                <w:highlight w:val="none"/>
              </w:rPr>
              <w:t>T</w:t>
            </w:r>
            <w:r>
              <w:rPr>
                <w:rFonts w:hint="eastAsia"/>
                <w:color w:val="auto"/>
                <w:kern w:val="0"/>
                <w:highlight w:val="none"/>
                <w:lang w:val="en-US" w:eastAsia="zh-CN"/>
              </w:rPr>
              <w:t>时间内j声源工作</w:t>
            </w:r>
            <w:r>
              <w:rPr>
                <w:rFonts w:cs="宋体"/>
                <w:color w:val="auto"/>
                <w:kern w:val="0"/>
                <w:highlight w:val="none"/>
              </w:rPr>
              <w:t>时间，</w:t>
            </w:r>
            <w:r>
              <w:rPr>
                <w:color w:val="auto"/>
                <w:kern w:val="0"/>
                <w:highlight w:val="none"/>
              </w:rPr>
              <w:t>s</w:t>
            </w:r>
            <w:r>
              <w:rPr>
                <w:rFonts w:cs="宋体"/>
                <w:color w:val="auto"/>
                <w:kern w:val="0"/>
                <w:highlight w:val="none"/>
              </w:rPr>
              <w:t>。</w:t>
            </w:r>
          </w:p>
          <w:p>
            <w:pPr>
              <w:pStyle w:val="33"/>
              <w:spacing w:before="0" w:after="0" w:line="480" w:lineRule="exact"/>
              <w:ind w:firstLineChars="200"/>
              <w:rPr>
                <w:color w:val="auto"/>
                <w:kern w:val="0"/>
                <w:highlight w:val="none"/>
              </w:rPr>
            </w:pPr>
            <w:r>
              <w:rPr>
                <w:rFonts w:cs="宋体"/>
                <w:color w:val="auto"/>
                <w:kern w:val="0"/>
                <w:highlight w:val="none"/>
              </w:rPr>
              <w:t>③预测点的预测等效声级</w:t>
            </w:r>
            <w:r>
              <w:rPr>
                <w:rFonts w:hint="eastAsia"/>
                <w:color w:val="auto"/>
                <w:kern w:val="0"/>
                <w:highlight w:val="none"/>
              </w:rPr>
              <w:t>（</w:t>
            </w:r>
            <w:r>
              <w:rPr>
                <w:color w:val="auto"/>
                <w:kern w:val="0"/>
                <w:highlight w:val="none"/>
              </w:rPr>
              <w:t>Leq</w:t>
            </w:r>
            <w:r>
              <w:rPr>
                <w:rFonts w:hint="eastAsia"/>
                <w:color w:val="auto"/>
                <w:kern w:val="0"/>
                <w:highlight w:val="none"/>
              </w:rPr>
              <w:t>）</w:t>
            </w:r>
            <w:r>
              <w:rPr>
                <w:rFonts w:cs="宋体"/>
                <w:color w:val="auto"/>
                <w:kern w:val="0"/>
                <w:highlight w:val="none"/>
              </w:rPr>
              <w:t>计算公式</w:t>
            </w:r>
          </w:p>
          <w:p>
            <w:pPr>
              <w:pStyle w:val="33"/>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eastAsia="宋体"/>
                <w:color w:val="auto"/>
                <w:kern w:val="0"/>
                <w:highlight w:val="none"/>
                <w:lang w:eastAsia="zh-CN"/>
              </w:rPr>
            </w:pPr>
            <w:r>
              <w:rPr>
                <w:rFonts w:hint="eastAsia" w:eastAsia="宋体"/>
                <w:color w:val="auto"/>
                <w:kern w:val="0"/>
                <w:position w:val="-14"/>
                <w:highlight w:val="none"/>
                <w:lang w:eastAsia="zh-CN"/>
              </w:rPr>
              <w:object>
                <v:shape id="_x0000_i1027" o:spt="75" type="#_x0000_t75" style="height:23pt;width:136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p>
          <w:p>
            <w:pPr>
              <w:pStyle w:val="33"/>
              <w:spacing w:before="0" w:after="0" w:line="480" w:lineRule="exact"/>
              <w:ind w:firstLineChars="200"/>
              <w:rPr>
                <w:color w:val="auto"/>
                <w:kern w:val="0"/>
                <w:highlight w:val="none"/>
              </w:rPr>
            </w:pPr>
            <w:r>
              <w:rPr>
                <w:rFonts w:cs="宋体"/>
                <w:color w:val="auto"/>
                <w:kern w:val="0"/>
                <w:highlight w:val="none"/>
              </w:rPr>
              <w:t>式中：</w:t>
            </w:r>
          </w:p>
          <w:p>
            <w:pPr>
              <w:pStyle w:val="33"/>
              <w:spacing w:before="0" w:after="0" w:line="480" w:lineRule="exact"/>
              <w:ind w:firstLine="425"/>
              <w:rPr>
                <w:color w:val="auto"/>
                <w:kern w:val="0"/>
                <w:highlight w:val="none"/>
              </w:rPr>
            </w:pPr>
            <w:r>
              <w:rPr>
                <w:i/>
                <w:iCs/>
                <w:color w:val="auto"/>
                <w:kern w:val="0"/>
                <w:highlight w:val="none"/>
              </w:rPr>
              <w:t>L</w:t>
            </w:r>
            <w:r>
              <w:rPr>
                <w:i/>
                <w:iCs/>
                <w:color w:val="auto"/>
                <w:kern w:val="0"/>
                <w:highlight w:val="none"/>
                <w:vertAlign w:val="subscript"/>
              </w:rPr>
              <w:t>eq</w:t>
            </w:r>
            <w:r>
              <w:rPr>
                <w:color w:val="auto"/>
                <w:kern w:val="0"/>
                <w:highlight w:val="none"/>
              </w:rPr>
              <w:t>—</w:t>
            </w:r>
            <w:r>
              <w:rPr>
                <w:rFonts w:hint="eastAsia" w:cs="宋体"/>
                <w:color w:val="auto"/>
                <w:kern w:val="0"/>
                <w:highlight w:val="none"/>
                <w:lang w:val="en-US" w:eastAsia="zh-CN"/>
              </w:rPr>
              <w:t>预测点的噪声预测值</w:t>
            </w:r>
            <w:r>
              <w:rPr>
                <w:rFonts w:cs="宋体"/>
                <w:color w:val="auto"/>
                <w:kern w:val="0"/>
                <w:highlight w:val="none"/>
              </w:rPr>
              <w:t>，</w:t>
            </w:r>
            <w:r>
              <w:rPr>
                <w:color w:val="auto"/>
                <w:kern w:val="0"/>
                <w:highlight w:val="none"/>
              </w:rPr>
              <w:t>dB</w:t>
            </w:r>
            <w:r>
              <w:rPr>
                <w:rFonts w:cs="宋体"/>
                <w:color w:val="auto"/>
                <w:kern w:val="0"/>
                <w:highlight w:val="none"/>
              </w:rPr>
              <w:t>；</w:t>
            </w:r>
          </w:p>
          <w:p>
            <w:pPr>
              <w:pStyle w:val="33"/>
              <w:spacing w:before="0" w:after="0" w:line="480" w:lineRule="exact"/>
              <w:ind w:firstLineChars="200"/>
              <w:rPr>
                <w:rFonts w:hint="eastAsia" w:eastAsia="宋体"/>
                <w:color w:val="auto"/>
                <w:kern w:val="0"/>
                <w:highlight w:val="none"/>
                <w:lang w:eastAsia="zh-CN"/>
              </w:rPr>
            </w:pPr>
            <w:r>
              <w:rPr>
                <w:rFonts w:hint="eastAsia"/>
                <w:color w:val="auto"/>
                <w:kern w:val="0"/>
                <w:highlight w:val="none"/>
                <w:lang w:val="en-US" w:eastAsia="zh-CN"/>
              </w:rPr>
              <w:t>L</w:t>
            </w:r>
            <w:r>
              <w:rPr>
                <w:rFonts w:hint="eastAsia"/>
                <w:color w:val="auto"/>
                <w:kern w:val="0"/>
                <w:highlight w:val="none"/>
                <w:vertAlign w:val="subscript"/>
                <w:lang w:val="en-US" w:eastAsia="zh-CN"/>
              </w:rPr>
              <w:t>eqb</w:t>
            </w:r>
            <w:r>
              <w:rPr>
                <w:color w:val="auto"/>
                <w:kern w:val="0"/>
                <w:highlight w:val="none"/>
              </w:rPr>
              <w:t>—</w:t>
            </w:r>
            <w:r>
              <w:rPr>
                <w:rFonts w:hint="eastAsia"/>
                <w:color w:val="auto"/>
                <w:kern w:val="0"/>
                <w:highlight w:val="none"/>
                <w:lang w:val="en-US" w:eastAsia="zh-CN"/>
              </w:rPr>
              <w:t>预测点的背景噪声值，</w:t>
            </w:r>
            <w:r>
              <w:rPr>
                <w:color w:val="auto"/>
                <w:kern w:val="0"/>
                <w:highlight w:val="none"/>
              </w:rPr>
              <w:t>dB</w:t>
            </w:r>
            <w:r>
              <w:rPr>
                <w:rFonts w:hint="eastAsia"/>
                <w:color w:val="auto"/>
                <w:kern w:val="0"/>
                <w:highlight w:val="none"/>
                <w:lang w:eastAsia="zh-CN"/>
              </w:rPr>
              <w:t>。</w:t>
            </w:r>
          </w:p>
          <w:p>
            <w:pPr>
              <w:pStyle w:val="33"/>
              <w:spacing w:before="0" w:after="0" w:line="480" w:lineRule="exact"/>
              <w:ind w:firstLine="425"/>
              <w:rPr>
                <w:color w:val="auto"/>
                <w:kern w:val="0"/>
                <w:highlight w:val="none"/>
              </w:rPr>
            </w:pPr>
            <w:r>
              <w:rPr>
                <w:rFonts w:cs="宋体"/>
                <w:color w:val="auto"/>
                <w:kern w:val="0"/>
                <w:highlight w:val="none"/>
              </w:rPr>
              <w:t>④户外声传播衰减计算</w:t>
            </w:r>
          </w:p>
          <w:p>
            <w:pPr>
              <w:pStyle w:val="33"/>
              <w:spacing w:before="0" w:after="0" w:line="480" w:lineRule="exact"/>
              <w:ind w:firstLine="425"/>
              <w:rPr>
                <w:color w:val="auto"/>
                <w:kern w:val="0"/>
                <w:highlight w:val="none"/>
              </w:rPr>
            </w:pPr>
            <w:r>
              <w:rPr>
                <w:rFonts w:cs="宋体"/>
                <w:color w:val="auto"/>
                <w:kern w:val="0"/>
                <w:highlight w:val="none"/>
              </w:rPr>
              <w:t>户外声传播衰减包括几何发散（</w:t>
            </w:r>
            <w:r>
              <w:rPr>
                <w:color w:val="auto"/>
                <w:kern w:val="0"/>
                <w:highlight w:val="none"/>
              </w:rPr>
              <w:t>A</w:t>
            </w:r>
            <w:r>
              <w:rPr>
                <w:color w:val="auto"/>
                <w:kern w:val="0"/>
                <w:highlight w:val="none"/>
                <w:vertAlign w:val="subscript"/>
              </w:rPr>
              <w:t>div</w:t>
            </w:r>
            <w:r>
              <w:rPr>
                <w:rFonts w:cs="宋体"/>
                <w:color w:val="auto"/>
                <w:kern w:val="0"/>
                <w:highlight w:val="none"/>
              </w:rPr>
              <w:t>）、大气吸收（</w:t>
            </w:r>
            <w:r>
              <w:rPr>
                <w:color w:val="auto"/>
                <w:kern w:val="0"/>
                <w:highlight w:val="none"/>
              </w:rPr>
              <w:t>A</w:t>
            </w:r>
            <w:r>
              <w:rPr>
                <w:color w:val="auto"/>
                <w:kern w:val="0"/>
                <w:highlight w:val="none"/>
                <w:vertAlign w:val="subscript"/>
              </w:rPr>
              <w:t>atm</w:t>
            </w:r>
            <w:r>
              <w:rPr>
                <w:rFonts w:cs="宋体"/>
                <w:color w:val="auto"/>
                <w:kern w:val="0"/>
                <w:highlight w:val="none"/>
              </w:rPr>
              <w:t>）、地面效应（</w:t>
            </w:r>
            <w:r>
              <w:rPr>
                <w:color w:val="auto"/>
                <w:kern w:val="0"/>
                <w:highlight w:val="none"/>
              </w:rPr>
              <w:t>A</w:t>
            </w:r>
            <w:r>
              <w:rPr>
                <w:color w:val="auto"/>
                <w:kern w:val="0"/>
                <w:highlight w:val="none"/>
                <w:vertAlign w:val="subscript"/>
              </w:rPr>
              <w:t>gr</w:t>
            </w:r>
            <w:r>
              <w:rPr>
                <w:rFonts w:cs="宋体"/>
                <w:color w:val="auto"/>
                <w:kern w:val="0"/>
                <w:highlight w:val="none"/>
              </w:rPr>
              <w:t>）、屏障屏蔽（</w:t>
            </w:r>
            <w:r>
              <w:rPr>
                <w:color w:val="auto"/>
                <w:kern w:val="0"/>
                <w:highlight w:val="none"/>
              </w:rPr>
              <w:t>A</w:t>
            </w:r>
            <w:r>
              <w:rPr>
                <w:color w:val="auto"/>
                <w:kern w:val="0"/>
                <w:highlight w:val="none"/>
                <w:vertAlign w:val="subscript"/>
              </w:rPr>
              <w:t>bar</w:t>
            </w:r>
            <w:r>
              <w:rPr>
                <w:rFonts w:cs="宋体"/>
                <w:color w:val="auto"/>
                <w:kern w:val="0"/>
                <w:highlight w:val="none"/>
              </w:rPr>
              <w:t>）、其他多方面效应（</w:t>
            </w:r>
            <w:r>
              <w:rPr>
                <w:color w:val="auto"/>
                <w:kern w:val="0"/>
                <w:highlight w:val="none"/>
              </w:rPr>
              <w:t>A</w:t>
            </w:r>
            <w:r>
              <w:rPr>
                <w:color w:val="auto"/>
                <w:kern w:val="0"/>
                <w:highlight w:val="none"/>
                <w:vertAlign w:val="subscript"/>
              </w:rPr>
              <w:t>misc</w:t>
            </w:r>
            <w:r>
              <w:rPr>
                <w:rFonts w:cs="宋体"/>
                <w:color w:val="auto"/>
                <w:kern w:val="0"/>
                <w:highlight w:val="none"/>
              </w:rPr>
              <w:t>）引起的衰减。</w:t>
            </w:r>
          </w:p>
          <w:p>
            <w:pPr>
              <w:pStyle w:val="33"/>
              <w:spacing w:before="0" w:after="0" w:line="480" w:lineRule="exact"/>
              <w:ind w:firstLine="425"/>
              <w:rPr>
                <w:color w:val="auto"/>
                <w:kern w:val="0"/>
                <w:highlight w:val="none"/>
              </w:rPr>
            </w:pPr>
            <w:r>
              <w:rPr>
                <w:rFonts w:cs="宋体"/>
                <w:color w:val="auto"/>
                <w:kern w:val="0"/>
                <w:highlight w:val="none"/>
              </w:rPr>
              <w:t>距声源点</w:t>
            </w:r>
            <w:r>
              <w:rPr>
                <w:color w:val="auto"/>
                <w:kern w:val="0"/>
                <w:highlight w:val="none"/>
              </w:rPr>
              <w:t>r</w:t>
            </w:r>
            <w:r>
              <w:rPr>
                <w:rFonts w:cs="宋体"/>
                <w:color w:val="auto"/>
                <w:kern w:val="0"/>
                <w:highlight w:val="none"/>
              </w:rPr>
              <w:t>处的</w:t>
            </w:r>
            <w:r>
              <w:rPr>
                <w:color w:val="auto"/>
                <w:kern w:val="0"/>
                <w:highlight w:val="none"/>
              </w:rPr>
              <w:t>A</w:t>
            </w:r>
            <w:r>
              <w:rPr>
                <w:rFonts w:cs="宋体"/>
                <w:color w:val="auto"/>
                <w:kern w:val="0"/>
                <w:highlight w:val="none"/>
              </w:rPr>
              <w:t>声级按下式计算：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highlight w:val="none"/>
                <w:lang w:val="en-US" w:eastAsia="zh-CN"/>
              </w:rPr>
            </w:pPr>
            <w:r>
              <w:rPr>
                <w:rFonts w:hint="eastAsia" w:eastAsia="宋体"/>
                <w:color w:val="auto"/>
                <w:position w:val="-14"/>
                <w:highlight w:val="none"/>
                <w:lang w:val="en-US" w:eastAsia="zh-CN"/>
              </w:rPr>
              <w:object>
                <v:shape id="_x0000_i1028" o:spt="75" type="#_x0000_t75" style="height:19pt;width:243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pPr>
              <w:pStyle w:val="10"/>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kern w:val="0"/>
                <w:sz w:val="24"/>
                <w:highlight w:val="none"/>
                <w:lang w:val="zh-CN"/>
              </w:rPr>
              <w:t>本项目</w:t>
            </w:r>
            <w:r>
              <w:rPr>
                <w:rFonts w:hint="default" w:ascii="Times New Roman" w:hAnsi="Times New Roman" w:cs="Times New Roman"/>
                <w:color w:val="auto"/>
                <w:kern w:val="0"/>
                <w:sz w:val="24"/>
                <w:highlight w:val="none"/>
                <w:lang w:val="zh-CN"/>
              </w:rPr>
              <w:t>预测计算只考虑各声源至受声点的几何发散衰减，不考虑空气吸收及影响较小的附加衰减。</w:t>
            </w:r>
          </w:p>
          <w:p>
            <w:pPr>
              <w:bidi w:val="0"/>
              <w:rPr>
                <w:rFonts w:hint="default"/>
                <w:color w:val="auto"/>
                <w:highlight w:val="none"/>
              </w:rPr>
            </w:pPr>
            <w:r>
              <w:rPr>
                <w:rFonts w:hint="eastAsia"/>
                <w:color w:val="auto"/>
                <w:highlight w:val="none"/>
              </w:rPr>
              <w:t>（2）</w:t>
            </w:r>
            <w:r>
              <w:rPr>
                <w:rFonts w:hint="default"/>
                <w:color w:val="auto"/>
                <w:highlight w:val="none"/>
              </w:rPr>
              <w:t>预测结果</w:t>
            </w:r>
          </w:p>
          <w:p>
            <w:pPr>
              <w:bidi w:val="0"/>
              <w:rPr>
                <w:rFonts w:hint="default"/>
                <w:color w:val="auto"/>
                <w:highlight w:val="none"/>
              </w:rPr>
            </w:pPr>
            <w:r>
              <w:rPr>
                <w:rFonts w:hint="eastAsia"/>
                <w:color w:val="auto"/>
                <w:highlight w:val="none"/>
                <w:lang w:val="en-US" w:eastAsia="zh-CN"/>
              </w:rPr>
              <w:t>车间</w:t>
            </w:r>
            <w:r>
              <w:rPr>
                <w:rFonts w:hint="default"/>
                <w:color w:val="auto"/>
                <w:highlight w:val="none"/>
              </w:rPr>
              <w:t>到项目厂界的距离如下：</w:t>
            </w:r>
          </w:p>
          <w:p>
            <w:pPr>
              <w:pStyle w:val="31"/>
              <w:bidi w:val="0"/>
              <w:rPr>
                <w:rFonts w:hint="eastAsia" w:eastAsia="宋体"/>
                <w:color w:val="auto"/>
                <w:sz w:val="21"/>
                <w:szCs w:val="21"/>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35</w:t>
            </w:r>
            <w:r>
              <w:rPr>
                <w:rFonts w:hint="eastAsia"/>
                <w:color w:val="auto"/>
                <w:sz w:val="21"/>
                <w:szCs w:val="21"/>
                <w:highlight w:val="none"/>
              </w:rPr>
              <w:t xml:space="preserve">  </w:t>
            </w:r>
            <w:r>
              <w:rPr>
                <w:rFonts w:hint="default"/>
                <w:color w:val="auto"/>
                <w:sz w:val="21"/>
                <w:szCs w:val="21"/>
                <w:highlight w:val="none"/>
              </w:rPr>
              <w:t>本项目</w:t>
            </w:r>
            <w:r>
              <w:rPr>
                <w:rFonts w:hint="eastAsia"/>
                <w:color w:val="auto"/>
                <w:sz w:val="21"/>
                <w:szCs w:val="21"/>
                <w:highlight w:val="none"/>
                <w:lang w:val="en-US" w:eastAsia="zh-CN"/>
              </w:rPr>
              <w:t>生产车间距</w:t>
            </w:r>
            <w:r>
              <w:rPr>
                <w:rFonts w:hint="default"/>
                <w:color w:val="auto"/>
                <w:sz w:val="21"/>
                <w:szCs w:val="21"/>
                <w:highlight w:val="none"/>
              </w:rPr>
              <w:t>厂界距离</w:t>
            </w:r>
            <w:r>
              <w:rPr>
                <w:rFonts w:hint="eastAsia"/>
                <w:color w:val="auto"/>
                <w:sz w:val="21"/>
                <w:szCs w:val="21"/>
                <w:highlight w:val="none"/>
                <w:lang w:val="en-US" w:eastAsia="zh-CN"/>
              </w:rPr>
              <w:t>一览表</w:t>
            </w:r>
          </w:p>
          <w:tbl>
            <w:tblPr>
              <w:tblStyle w:val="25"/>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816"/>
              <w:gridCol w:w="1521"/>
              <w:gridCol w:w="1507"/>
              <w:gridCol w:w="1272"/>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序号</w:t>
                  </w:r>
                </w:p>
              </w:tc>
              <w:tc>
                <w:tcPr>
                  <w:tcW w:w="1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噪声源</w:t>
                  </w:r>
                </w:p>
              </w:tc>
              <w:tc>
                <w:tcPr>
                  <w:tcW w:w="1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东厂界（m）</w:t>
                  </w:r>
                </w:p>
              </w:tc>
              <w:tc>
                <w:tcPr>
                  <w:tcW w:w="14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南厂界（m）</w:t>
                  </w:r>
                </w:p>
              </w:tc>
              <w:tc>
                <w:tcPr>
                  <w:tcW w:w="12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西厂界（m）</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北厂界（m）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98" w:type="dxa"/>
                  <w:tcBorders>
                    <w:tl2br w:val="nil"/>
                    <w:tr2bl w:val="nil"/>
                  </w:tcBorders>
                  <w:vAlign w:val="center"/>
                </w:tcPr>
                <w:p>
                  <w:pPr>
                    <w:keepNext w:val="0"/>
                    <w:keepLines w:val="0"/>
                    <w:pageBreakBefore w:val="0"/>
                    <w:widowControl w:val="0"/>
                    <w:numPr>
                      <w:ilvl w:val="0"/>
                      <w:numId w:val="32"/>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ahoma"/>
                      <w:color w:val="auto"/>
                      <w:sz w:val="21"/>
                      <w:szCs w:val="21"/>
                      <w:highlight w:val="none"/>
                      <w:lang w:val="en-US" w:eastAsia="zh-CN"/>
                    </w:rPr>
                    <w:t>生产车间</w:t>
                  </w:r>
                </w:p>
              </w:tc>
              <w:tc>
                <w:tcPr>
                  <w:tcW w:w="151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26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13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r>
          </w:tbl>
          <w:p>
            <w:pPr>
              <w:bidi w:val="0"/>
              <w:rPr>
                <w:rFonts w:hint="default"/>
                <w:color w:val="auto"/>
                <w:highlight w:val="none"/>
                <w:lang w:val="zh-CN"/>
              </w:rPr>
            </w:pPr>
            <w:r>
              <w:rPr>
                <w:rFonts w:hint="default"/>
                <w:color w:val="auto"/>
                <w:highlight w:val="none"/>
              </w:rPr>
              <w:t>按照噪声预测模式，</w:t>
            </w:r>
            <w:r>
              <w:rPr>
                <w:rFonts w:hint="eastAsia"/>
                <w:color w:val="auto"/>
                <w:highlight w:val="none"/>
                <w:lang w:val="en-US" w:eastAsia="zh-CN"/>
              </w:rPr>
              <w:t>采取</w:t>
            </w:r>
            <w:r>
              <w:rPr>
                <w:rFonts w:hint="default"/>
                <w:b w:val="0"/>
                <w:bCs w:val="0"/>
                <w:color w:val="auto"/>
                <w:highlight w:val="none"/>
              </w:rPr>
              <w:t>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default"/>
                <w:color w:val="auto"/>
                <w:highlight w:val="none"/>
                <w:lang w:val="zh-CN"/>
              </w:rPr>
              <w:t>后，噪声源到各厂界</w:t>
            </w:r>
            <w:r>
              <w:rPr>
                <w:rFonts w:hint="eastAsia"/>
                <w:color w:val="auto"/>
                <w:highlight w:val="none"/>
                <w:lang w:val="en-US" w:eastAsia="zh-CN"/>
              </w:rPr>
              <w:t>噪声贡献</w:t>
            </w:r>
            <w:r>
              <w:rPr>
                <w:rFonts w:hint="default"/>
                <w:color w:val="auto"/>
                <w:highlight w:val="none"/>
                <w:lang w:val="zh-CN"/>
              </w:rPr>
              <w:t>值见下表。</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36</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r>
              <w:rPr>
                <w:rFonts w:hint="default" w:ascii="Times New Roman" w:hAnsi="Times New Roman" w:eastAsia="宋体" w:cs="Times New Roman"/>
                <w:b/>
                <w:bCs/>
                <w:color w:val="auto"/>
                <w:sz w:val="21"/>
                <w:szCs w:val="21"/>
                <w:highlight w:val="none"/>
                <w:shd w:val="clear" w:color="auto" w:fill="auto"/>
                <w:lang w:val="zh-CN" w:eastAsia="zh-CN"/>
              </w:rPr>
              <w:t>各厂界</w:t>
            </w:r>
            <w:r>
              <w:rPr>
                <w:rFonts w:hint="eastAsia" w:ascii="Times New Roman" w:hAnsi="Times New Roman" w:eastAsia="宋体" w:cs="Times New Roman"/>
                <w:b/>
                <w:bCs/>
                <w:color w:val="auto"/>
                <w:sz w:val="21"/>
                <w:szCs w:val="21"/>
                <w:highlight w:val="none"/>
                <w:shd w:val="clear" w:color="auto" w:fill="auto"/>
                <w:lang w:val="zh-CN" w:eastAsia="zh-CN"/>
              </w:rPr>
              <w:t>噪声</w:t>
            </w:r>
            <w:r>
              <w:rPr>
                <w:rFonts w:hint="eastAsia" w:ascii="Times New Roman" w:hAnsi="Times New Roman" w:eastAsia="宋体" w:cs="Times New Roman"/>
                <w:b/>
                <w:bCs/>
                <w:color w:val="auto"/>
                <w:sz w:val="21"/>
                <w:szCs w:val="21"/>
                <w:highlight w:val="none"/>
                <w:shd w:val="clear" w:color="auto" w:fill="auto"/>
                <w:lang w:val="en-US" w:eastAsia="zh-CN"/>
              </w:rPr>
              <w:t>贡献</w:t>
            </w:r>
            <w:r>
              <w:rPr>
                <w:rFonts w:hint="default" w:ascii="Times New Roman" w:hAnsi="Times New Roman" w:eastAsia="宋体" w:cs="Times New Roman"/>
                <w:b/>
                <w:bCs/>
                <w:color w:val="auto"/>
                <w:sz w:val="21"/>
                <w:szCs w:val="21"/>
                <w:highlight w:val="none"/>
                <w:shd w:val="clear" w:color="auto" w:fill="auto"/>
                <w:lang w:val="zh-CN" w:eastAsia="zh-CN"/>
              </w:rPr>
              <w:t>值</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39"/>
              <w:gridCol w:w="1342"/>
              <w:gridCol w:w="1342"/>
              <w:gridCol w:w="1343"/>
              <w:gridCol w:w="1498"/>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330"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厂界</w:t>
                  </w:r>
                </w:p>
              </w:tc>
              <w:tc>
                <w:tcPr>
                  <w:tcW w:w="133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噪声贡献值</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2667"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标准值/</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3004"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1330"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3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昼间</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夜间</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昼间</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东厂界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8</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南厂界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西厂界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w:t>
                  </w:r>
                  <w:r>
                    <w:rPr>
                      <w:rFonts w:hint="eastAsia" w:cs="Times New Roman"/>
                      <w:color w:val="auto"/>
                      <w:sz w:val="21"/>
                      <w:szCs w:val="21"/>
                      <w:highlight w:val="none"/>
                      <w:shd w:val="clear" w:color="auto" w:fill="auto"/>
                      <w:lang w:val="en-US" w:eastAsia="zh-CN"/>
                    </w:rPr>
                    <w:t>9</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北厂界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9</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bl>
          <w:p>
            <w:pPr>
              <w:bidi w:val="0"/>
              <w:rPr>
                <w:rFonts w:hint="default" w:eastAsia="宋体"/>
                <w:b/>
                <w:bCs/>
                <w:color w:val="auto"/>
                <w:highlight w:val="none"/>
                <w:lang w:val="en-US" w:eastAsia="zh-CN"/>
              </w:rPr>
            </w:pPr>
            <w:r>
              <w:rPr>
                <w:rFonts w:hint="eastAsia"/>
                <w:b/>
                <w:bCs/>
                <w:color w:val="auto"/>
                <w:highlight w:val="none"/>
                <w:lang w:val="en-US" w:eastAsia="zh-CN"/>
              </w:rPr>
              <w:t>3.2达标情况分析</w:t>
            </w:r>
          </w:p>
          <w:p>
            <w:pPr>
              <w:bidi w:val="0"/>
              <w:rPr>
                <w:rFonts w:hint="eastAsia" w:eastAsia="宋体"/>
                <w:color w:val="auto"/>
                <w:highlight w:val="none"/>
                <w:lang w:eastAsia="zh-CN"/>
              </w:rPr>
            </w:pPr>
            <w:r>
              <w:rPr>
                <w:rFonts w:hint="default"/>
                <w:b w:val="0"/>
                <w:bCs w:val="0"/>
                <w:color w:val="auto"/>
                <w:highlight w:val="none"/>
              </w:rPr>
              <w:t>本项目营运期主要噪声源为</w:t>
            </w:r>
            <w:r>
              <w:rPr>
                <w:rFonts w:hint="eastAsia"/>
                <w:b w:val="0"/>
                <w:bCs w:val="0"/>
                <w:color w:val="auto"/>
                <w:highlight w:val="none"/>
                <w:lang w:val="en-US" w:eastAsia="zh-CN"/>
              </w:rPr>
              <w:t>空压机、丝印机、研磨机、覆膜印刷机、覆膜烘干机、喷镀炉、蒸镀炉、烘干炉、烧熔炉、自动覆膜机、风机等</w:t>
            </w:r>
            <w:r>
              <w:rPr>
                <w:rFonts w:hint="default"/>
                <w:b w:val="0"/>
                <w:bCs w:val="0"/>
                <w:color w:val="auto"/>
                <w:highlight w:val="none"/>
              </w:rPr>
              <w:t>运行时产生的噪声</w:t>
            </w:r>
            <w:r>
              <w:rPr>
                <w:rFonts w:hint="eastAsia"/>
                <w:color w:val="auto"/>
                <w:highlight w:val="none"/>
                <w:lang w:val="en-US" w:eastAsia="zh-CN"/>
              </w:rPr>
              <w:t>，在对设备采取基础减振、厂房隔声等降噪措施后，</w:t>
            </w:r>
            <w:r>
              <w:rPr>
                <w:rFonts w:hint="eastAsia"/>
                <w:color w:val="auto"/>
                <w:highlight w:val="none"/>
              </w:rPr>
              <w:t>厂界</w:t>
            </w:r>
            <w:r>
              <w:rPr>
                <w:rFonts w:hint="default"/>
                <w:color w:val="auto"/>
                <w:highlight w:val="none"/>
              </w:rPr>
              <w:t>噪声</w:t>
            </w:r>
            <w:r>
              <w:rPr>
                <w:rFonts w:hint="eastAsia"/>
                <w:color w:val="auto"/>
                <w:highlight w:val="none"/>
                <w:lang w:val="en-US" w:eastAsia="zh-CN"/>
              </w:rPr>
              <w:t>贡献值</w:t>
            </w:r>
            <w:r>
              <w:rPr>
                <w:rFonts w:hint="eastAsia"/>
                <w:color w:val="auto"/>
                <w:highlight w:val="none"/>
              </w:rPr>
              <w:t>满足</w:t>
            </w:r>
            <w:r>
              <w:rPr>
                <w:rFonts w:hint="default"/>
                <w:color w:val="auto"/>
                <w:highlight w:val="none"/>
              </w:rPr>
              <w:t>《工业企业厂界环境噪声排放标准》（GB12348-2008）</w:t>
            </w:r>
            <w:r>
              <w:rPr>
                <w:rFonts w:hint="eastAsia"/>
                <w:color w:val="auto"/>
                <w:highlight w:val="none"/>
                <w:lang w:val="en-US" w:eastAsia="zh-CN"/>
              </w:rPr>
              <w:t>2</w:t>
            </w:r>
            <w:r>
              <w:rPr>
                <w:rFonts w:hint="default"/>
                <w:color w:val="auto"/>
                <w:highlight w:val="none"/>
              </w:rPr>
              <w:t>类标准</w:t>
            </w:r>
            <w:r>
              <w:rPr>
                <w:rFonts w:hint="eastAsia"/>
                <w:color w:val="auto"/>
                <w:highlight w:val="none"/>
                <w:lang w:eastAsia="zh-CN"/>
              </w:rPr>
              <w:t>，</w:t>
            </w:r>
            <w:r>
              <w:rPr>
                <w:rFonts w:hint="eastAsia"/>
                <w:color w:val="auto"/>
                <w:highlight w:val="none"/>
                <w:lang w:val="en-US" w:eastAsia="zh-CN"/>
              </w:rPr>
              <w:t>昼间</w:t>
            </w:r>
            <w:r>
              <w:rPr>
                <w:rFonts w:hint="eastAsia"/>
                <w:color w:val="auto"/>
                <w:sz w:val="24"/>
                <w:szCs w:val="24"/>
                <w:highlight w:val="none"/>
                <w:lang w:val="en-US" w:eastAsia="zh-CN"/>
              </w:rPr>
              <w:t>60</w:t>
            </w:r>
            <w:r>
              <w:rPr>
                <w:rFonts w:hint="default"/>
                <w:color w:val="auto"/>
                <w:sz w:val="24"/>
                <w:szCs w:val="24"/>
                <w:highlight w:val="none"/>
              </w:rPr>
              <w:t>dB（A）</w:t>
            </w:r>
            <w:r>
              <w:rPr>
                <w:rFonts w:hint="eastAsia"/>
                <w:color w:val="auto"/>
                <w:sz w:val="24"/>
                <w:szCs w:val="24"/>
                <w:highlight w:val="none"/>
                <w:lang w:eastAsia="zh-CN"/>
              </w:rPr>
              <w:t>，</w:t>
            </w:r>
            <w:r>
              <w:rPr>
                <w:rFonts w:hint="eastAsia"/>
                <w:color w:val="auto"/>
                <w:sz w:val="24"/>
                <w:szCs w:val="24"/>
                <w:highlight w:val="none"/>
                <w:lang w:val="en-US" w:eastAsia="zh-CN"/>
              </w:rPr>
              <w:t>夜间50</w:t>
            </w:r>
            <w:r>
              <w:rPr>
                <w:rFonts w:hint="default"/>
                <w:color w:val="auto"/>
                <w:sz w:val="24"/>
                <w:szCs w:val="24"/>
                <w:highlight w:val="none"/>
              </w:rPr>
              <w:t>dB（A）</w:t>
            </w:r>
            <w:r>
              <w:rPr>
                <w:rFonts w:hint="eastAsia"/>
                <w:color w:val="auto"/>
                <w:sz w:val="24"/>
                <w:szCs w:val="24"/>
                <w:highlight w:val="none"/>
                <w:lang w:val="en-US" w:eastAsia="zh-CN"/>
              </w:rPr>
              <w:t>的要求</w:t>
            </w:r>
            <w:r>
              <w:rPr>
                <w:rFonts w:hint="eastAsia"/>
                <w:color w:val="auto"/>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3.3监测计划</w:t>
            </w:r>
          </w:p>
          <w:p>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按照《排污单位自行监测技术指南 总则》</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HJ819-2017</w:t>
            </w:r>
            <w:r>
              <w:rPr>
                <w:rFonts w:hint="eastAsia" w:ascii="Times New Roman" w:hAnsi="Times New Roman"/>
                <w:color w:val="auto"/>
                <w:sz w:val="24"/>
                <w:szCs w:val="24"/>
                <w:highlight w:val="none"/>
                <w:lang w:eastAsia="zh-CN"/>
              </w:rPr>
              <w:t>）</w:t>
            </w:r>
            <w:r>
              <w:rPr>
                <w:rFonts w:hint="eastAsia"/>
                <w:color w:val="auto"/>
                <w:kern w:val="1"/>
                <w:sz w:val="24"/>
                <w:szCs w:val="24"/>
                <w:highlight w:val="none"/>
                <w:lang w:val="en-US" w:eastAsia="zh-CN" w:bidi="ar"/>
              </w:rPr>
              <w:t>要求，企业投入运营后噪声监测情况见下表。</w:t>
            </w:r>
          </w:p>
          <w:p>
            <w:pPr>
              <w:pStyle w:val="31"/>
              <w:bidi w:val="0"/>
              <w:rPr>
                <w:rFonts w:hint="default"/>
                <w:b/>
                <w:color w:val="auto"/>
                <w:sz w:val="24"/>
                <w:szCs w:val="24"/>
                <w:highlight w:val="none"/>
              </w:rPr>
            </w:pPr>
            <w:r>
              <w:rPr>
                <w:rFonts w:hint="default"/>
                <w:color w:val="auto"/>
                <w:sz w:val="21"/>
                <w:szCs w:val="21"/>
                <w:highlight w:val="none"/>
              </w:rPr>
              <w:t>表</w:t>
            </w:r>
            <w:r>
              <w:rPr>
                <w:rFonts w:hint="eastAsia"/>
                <w:color w:val="auto"/>
                <w:sz w:val="21"/>
                <w:szCs w:val="21"/>
                <w:highlight w:val="none"/>
                <w:lang w:val="en-US" w:eastAsia="zh-CN"/>
              </w:rPr>
              <w:t xml:space="preserve">37  </w:t>
            </w:r>
            <w:r>
              <w:rPr>
                <w:rFonts w:hint="default"/>
                <w:color w:val="auto"/>
                <w:sz w:val="21"/>
                <w:szCs w:val="21"/>
                <w:highlight w:val="none"/>
              </w:rPr>
              <w:t>项目厂界噪声监测计划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4"/>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99"/>
              <w:gridCol w:w="1778"/>
              <w:gridCol w:w="1205"/>
              <w:gridCol w:w="39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49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7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监测指标</w:t>
                  </w:r>
                </w:p>
              </w:tc>
              <w:tc>
                <w:tcPr>
                  <w:tcW w:w="1205"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390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1499"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厂</w:t>
                  </w:r>
                  <w:r>
                    <w:rPr>
                      <w:rFonts w:hint="default"/>
                      <w:color w:val="auto"/>
                      <w:sz w:val="21"/>
                      <w:szCs w:val="21"/>
                      <w:highlight w:val="none"/>
                    </w:rPr>
                    <w:t>界外1m处</w:t>
                  </w:r>
                </w:p>
              </w:tc>
              <w:tc>
                <w:tcPr>
                  <w:tcW w:w="177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等效连续A声级</w:t>
                  </w:r>
                </w:p>
              </w:tc>
              <w:tc>
                <w:tcPr>
                  <w:tcW w:w="1205"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908" w:type="dxa"/>
                  <w:tcBorders>
                    <w:tl2br w:val="nil"/>
                    <w:tr2bl w:val="nil"/>
                  </w:tcBorders>
                  <w:noWrap w:val="0"/>
                  <w:tcMar>
                    <w:top w:w="15" w:type="dxa"/>
                    <w:left w:w="15" w:type="dxa"/>
                    <w:bottom w:w="15" w:type="dxa"/>
                    <w:right w:w="15"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2</w:t>
                  </w:r>
                  <w:r>
                    <w:rPr>
                      <w:rFonts w:hint="default"/>
                      <w:color w:val="auto"/>
                      <w:sz w:val="21"/>
                      <w:szCs w:val="21"/>
                      <w:highlight w:val="none"/>
                    </w:rPr>
                    <w:t>类标准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4、固体废物</w:t>
            </w:r>
          </w:p>
          <w:p>
            <w:pPr>
              <w:bidi w:val="0"/>
              <w:rPr>
                <w:rFonts w:hint="eastAsia" w:eastAsia="宋体"/>
                <w:b w:val="0"/>
                <w:bCs w:val="0"/>
                <w:color w:val="auto"/>
                <w:highlight w:val="none"/>
                <w:lang w:val="en-US" w:eastAsia="zh-CN"/>
              </w:rPr>
            </w:pPr>
            <w:r>
              <w:rPr>
                <w:rFonts w:hint="eastAsia"/>
                <w:color w:val="auto"/>
                <w:sz w:val="24"/>
                <w:szCs w:val="24"/>
                <w:highlight w:val="none"/>
                <w:lang w:val="en-US" w:eastAsia="zh-CN"/>
              </w:rPr>
              <w:t>本项目固体废物主要为生产过程产生的废包装物；裁切过程产生的PET膜边角料、PVC膜边角料；设备维护保养过程产生的废润滑油、废润滑油桶；生产过程中产生的</w:t>
            </w:r>
            <w:r>
              <w:rPr>
                <w:rFonts w:hint="eastAsia"/>
                <w:color w:val="auto"/>
                <w:lang w:val="en-US" w:eastAsia="zh-CN"/>
              </w:rPr>
              <w:t>废包装桶（导电浆料配制原料包装桶）；废气治理设施定期更换的废活性炭</w:t>
            </w:r>
            <w:r>
              <w:rPr>
                <w:rFonts w:hint="eastAsia" w:cs="Times New Roman"/>
                <w:b w:val="0"/>
                <w:bCs w:val="0"/>
                <w:snapToGrid w:val="0"/>
                <w:color w:val="auto"/>
                <w:kern w:val="0"/>
                <w:sz w:val="24"/>
                <w:szCs w:val="21"/>
                <w:highlight w:val="none"/>
                <w:shd w:val="clear" w:color="auto" w:fill="auto"/>
                <w:lang w:val="en-US" w:eastAsia="zh-CN" w:bidi="ar-SA"/>
              </w:rPr>
              <w:t>。</w:t>
            </w:r>
          </w:p>
          <w:p>
            <w:pPr>
              <w:bidi w:val="0"/>
              <w:rPr>
                <w:rFonts w:hint="eastAsia"/>
                <w:b/>
                <w:bCs/>
                <w:color w:val="auto"/>
                <w:highlight w:val="none"/>
                <w:lang w:val="en-US" w:eastAsia="zh-CN"/>
              </w:rPr>
            </w:pPr>
            <w:r>
              <w:rPr>
                <w:rFonts w:hint="eastAsia"/>
                <w:b/>
                <w:bCs/>
                <w:color w:val="auto"/>
                <w:highlight w:val="none"/>
                <w:lang w:val="en-US" w:eastAsia="zh-CN"/>
              </w:rPr>
              <w:t>4.1一般工业固体废物</w:t>
            </w:r>
          </w:p>
          <w:p>
            <w:pPr>
              <w:bidi w:val="0"/>
              <w:rPr>
                <w:rFonts w:hint="default" w:ascii="Times New Roman" w:eastAsia="宋体"/>
                <w:b/>
                <w:bCs/>
                <w:color w:val="auto"/>
                <w:highlight w:val="none"/>
                <w:lang w:val="en-US" w:eastAsia="zh-CN"/>
              </w:rPr>
            </w:pPr>
            <w:r>
              <w:rPr>
                <w:rFonts w:hint="eastAsia" w:ascii="Times New Roman" w:eastAsia="宋体"/>
                <w:b/>
                <w:bCs/>
                <w:color w:val="auto"/>
                <w:highlight w:val="none"/>
                <w:lang w:val="en-US" w:eastAsia="zh-CN"/>
              </w:rPr>
              <w:t>4.1.1 一般工业固体废物基本情况</w:t>
            </w:r>
          </w:p>
          <w:p>
            <w:pPr>
              <w:bidi w:val="0"/>
              <w:rPr>
                <w:color w:val="auto"/>
              </w:rPr>
            </w:pPr>
            <w:r>
              <w:rPr>
                <w:rFonts w:hint="eastAsia"/>
                <w:color w:val="auto"/>
                <w:lang w:val="en-US" w:eastAsia="zh-CN"/>
              </w:rPr>
              <w:t>本项目产生的一般工业固体废物主要为生产过程产生的废包装物；裁切过程产生的PET膜边角料、PVC膜边角料。</w:t>
            </w:r>
          </w:p>
          <w:p>
            <w:pPr>
              <w:bidi w:val="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废包装物（385-009-07）</w:t>
            </w:r>
          </w:p>
          <w:p>
            <w:pPr>
              <w:bidi w:val="0"/>
              <w:rPr>
                <w:rFonts w:hint="default" w:eastAsia="宋体"/>
                <w:color w:val="auto"/>
                <w:lang w:val="en-US" w:eastAsia="zh-CN"/>
              </w:rPr>
            </w:pPr>
            <w:r>
              <w:rPr>
                <w:rFonts w:hint="eastAsia"/>
                <w:color w:val="auto"/>
                <w:lang w:val="en-US" w:eastAsia="zh-CN"/>
              </w:rPr>
              <w:t>本项目生产过程会产生一定量的废包装物，产生量为0.3t/a，集中收集，暂存于一般固废储存区，外售废品回收站。</w:t>
            </w:r>
          </w:p>
          <w:p>
            <w:pPr>
              <w:bidi w:val="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PET膜边角料、PVC膜边角料（385-009-06）</w:t>
            </w:r>
          </w:p>
          <w:p>
            <w:pPr>
              <w:bidi w:val="0"/>
              <w:rPr>
                <w:rFonts w:hint="default" w:eastAsia="宋体"/>
                <w:color w:val="auto"/>
                <w:lang w:val="en-US" w:eastAsia="zh-CN"/>
              </w:rPr>
            </w:pPr>
            <w:r>
              <w:rPr>
                <w:rFonts w:hint="eastAsia"/>
                <w:color w:val="auto"/>
                <w:lang w:val="en-US" w:eastAsia="zh-CN"/>
              </w:rPr>
              <w:t>本项目裁切过程会产生一定量的PET膜边角料、PVC膜边角料，产生量为0.5t/a，集中收集，暂存于一般固废储存区，外售废品回收站。</w:t>
            </w:r>
          </w:p>
          <w:p>
            <w:pPr>
              <w:bidi w:val="0"/>
              <w:rPr>
                <w:rFonts w:hint="eastAsia"/>
                <w:color w:val="auto"/>
                <w:lang w:val="en-US" w:eastAsia="zh-CN"/>
              </w:rPr>
            </w:pPr>
            <w:r>
              <w:rPr>
                <w:rFonts w:hint="eastAsia"/>
                <w:color w:val="auto"/>
                <w:lang w:val="en-US" w:eastAsia="zh-CN"/>
              </w:rPr>
              <w:t>本项目一般工业固体废物产生及处置情况见下表。</w:t>
            </w: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79" w:type="dxa"/>
            <w:tcBorders>
              <w:tl2br w:val="nil"/>
              <w:tr2bl w:val="nil"/>
            </w:tcBorders>
          </w:tcPr>
          <w:p>
            <w:pPr>
              <w:rPr>
                <w:rFonts w:hint="eastAsia" w:ascii="黑体" w:hAnsi="黑体" w:eastAsia="黑体"/>
                <w:snapToGrid w:val="0"/>
                <w:color w:val="auto"/>
                <w:sz w:val="30"/>
                <w:szCs w:val="30"/>
                <w:highlight w:val="none"/>
                <w:vertAlign w:val="baseline"/>
              </w:rPr>
            </w:pPr>
            <w:bookmarkStart w:id="6" w:name="_Toc10289"/>
          </w:p>
        </w:tc>
        <w:tc>
          <w:tcPr>
            <w:tcW w:w="12995"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38</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8"/>
              <w:gridCol w:w="1067"/>
              <w:gridCol w:w="733"/>
              <w:gridCol w:w="1189"/>
              <w:gridCol w:w="644"/>
              <w:gridCol w:w="823"/>
              <w:gridCol w:w="800"/>
              <w:gridCol w:w="1289"/>
              <w:gridCol w:w="1233"/>
              <w:gridCol w:w="890"/>
              <w:gridCol w:w="3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6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2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8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33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生产过程</w:t>
                  </w:r>
                </w:p>
              </w:tc>
              <w:tc>
                <w:tcPr>
                  <w:tcW w:w="106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废包装物</w:t>
                  </w:r>
                </w:p>
              </w:tc>
              <w:tc>
                <w:tcPr>
                  <w:tcW w:w="73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一般工业固体废物</w:t>
                  </w:r>
                </w:p>
              </w:tc>
              <w:tc>
                <w:tcPr>
                  <w:tcW w:w="11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0.3t/a</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暂存于一般固废暂存</w:t>
                  </w:r>
                  <w:r>
                    <w:rPr>
                      <w:rFonts w:hint="eastAsia" w:cs="Times New Roman"/>
                      <w:color w:val="auto"/>
                      <w:sz w:val="21"/>
                      <w:szCs w:val="21"/>
                      <w:highlight w:val="none"/>
                      <w:shd w:val="clear" w:color="auto" w:fill="auto"/>
                      <w:lang w:val="en-US" w:eastAsia="zh-CN"/>
                    </w:rPr>
                    <w:t>区</w:t>
                  </w:r>
                </w:p>
              </w:tc>
              <w:tc>
                <w:tcPr>
                  <w:tcW w:w="12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8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0.3t/a</w:t>
                  </w:r>
                </w:p>
              </w:tc>
              <w:tc>
                <w:tcPr>
                  <w:tcW w:w="334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02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裁切过程</w:t>
                  </w:r>
                </w:p>
              </w:tc>
              <w:tc>
                <w:tcPr>
                  <w:tcW w:w="106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PET膜边角料、PVC膜边角料</w:t>
                  </w:r>
                </w:p>
              </w:tc>
              <w:tc>
                <w:tcPr>
                  <w:tcW w:w="7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11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0.5t/a</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暂存于一般固废暂存</w:t>
                  </w:r>
                  <w:r>
                    <w:rPr>
                      <w:rFonts w:hint="eastAsia" w:cs="Times New Roman"/>
                      <w:color w:val="auto"/>
                      <w:sz w:val="21"/>
                      <w:szCs w:val="21"/>
                      <w:highlight w:val="none"/>
                      <w:shd w:val="clear" w:color="auto" w:fill="auto"/>
                      <w:lang w:val="en-US" w:eastAsia="zh-CN"/>
                    </w:rPr>
                    <w:t>区</w:t>
                  </w:r>
                </w:p>
              </w:tc>
              <w:tc>
                <w:tcPr>
                  <w:tcW w:w="12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8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0.5t/a</w:t>
                  </w:r>
                </w:p>
              </w:tc>
              <w:tc>
                <w:tcPr>
                  <w:tcW w:w="334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pPr>
              <w:bidi w:val="0"/>
              <w:rPr>
                <w:rFonts w:hint="default"/>
                <w:color w:val="auto"/>
                <w:highlight w:val="none"/>
                <w:lang w:val="en-US" w:eastAsia="zh-CN"/>
              </w:rPr>
            </w:pPr>
            <w:r>
              <w:rPr>
                <w:rFonts w:hint="eastAsia"/>
                <w:color w:val="auto"/>
                <w:highlight w:val="none"/>
                <w:lang w:val="en-US" w:eastAsia="zh-CN"/>
              </w:rPr>
              <w:t>本项目建成后全厂一般工业固体废物产生及处置情况见下表。</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39</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本项目建成后全厂一般工业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4"/>
              <w:gridCol w:w="1089"/>
              <w:gridCol w:w="744"/>
              <w:gridCol w:w="1211"/>
              <w:gridCol w:w="611"/>
              <w:gridCol w:w="845"/>
              <w:gridCol w:w="811"/>
              <w:gridCol w:w="1289"/>
              <w:gridCol w:w="1222"/>
              <w:gridCol w:w="939"/>
              <w:gridCol w:w="32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98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10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7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2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8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2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3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329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8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生产过程</w:t>
                  </w:r>
                </w:p>
              </w:tc>
              <w:tc>
                <w:tcPr>
                  <w:tcW w:w="10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废包装物</w:t>
                  </w:r>
                </w:p>
              </w:tc>
              <w:tc>
                <w:tcPr>
                  <w:tcW w:w="744"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一般工业固体废物</w:t>
                  </w:r>
                </w:p>
              </w:tc>
              <w:tc>
                <w:tcPr>
                  <w:tcW w:w="12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1.3t/a</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暂存于一般固废暂存</w:t>
                  </w:r>
                  <w:r>
                    <w:rPr>
                      <w:rFonts w:hint="eastAsia" w:cs="Times New Roman"/>
                      <w:color w:val="auto"/>
                      <w:sz w:val="21"/>
                      <w:szCs w:val="21"/>
                      <w:highlight w:val="none"/>
                      <w:shd w:val="clear" w:color="auto" w:fill="auto"/>
                      <w:lang w:val="en-US" w:eastAsia="zh-CN"/>
                    </w:rPr>
                    <w:t>区</w:t>
                  </w:r>
                </w:p>
              </w:tc>
              <w:tc>
                <w:tcPr>
                  <w:tcW w:w="12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93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1.3t/a</w:t>
                  </w:r>
                </w:p>
              </w:tc>
              <w:tc>
                <w:tcPr>
                  <w:tcW w:w="3294"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照《环境保护图形标志》（GB15562-1995）的要求对一般固体废物的临时存放场所设置环境保护图形标志牌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98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裁切过程</w:t>
                  </w:r>
                </w:p>
              </w:tc>
              <w:tc>
                <w:tcPr>
                  <w:tcW w:w="10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PET膜边角料、PVC膜边角料</w:t>
                  </w:r>
                </w:p>
              </w:tc>
              <w:tc>
                <w:tcPr>
                  <w:tcW w:w="74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12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6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固态</w:t>
                  </w:r>
                </w:p>
              </w:tc>
              <w:tc>
                <w:tcPr>
                  <w:tcW w:w="8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无</w:t>
                  </w:r>
                </w:p>
              </w:tc>
              <w:tc>
                <w:tcPr>
                  <w:tcW w:w="81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0.5t/a</w:t>
                  </w:r>
                </w:p>
              </w:tc>
              <w:tc>
                <w:tcPr>
                  <w:tcW w:w="128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暂存于一般固废暂存</w:t>
                  </w:r>
                  <w:r>
                    <w:rPr>
                      <w:rFonts w:hint="eastAsia" w:cs="Times New Roman"/>
                      <w:color w:val="auto"/>
                      <w:sz w:val="21"/>
                      <w:szCs w:val="21"/>
                      <w:highlight w:val="none"/>
                      <w:shd w:val="clear" w:color="auto" w:fill="auto"/>
                      <w:lang w:val="en-US" w:eastAsia="zh-CN"/>
                    </w:rPr>
                    <w:t>区</w:t>
                  </w:r>
                </w:p>
              </w:tc>
              <w:tc>
                <w:tcPr>
                  <w:tcW w:w="12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外售废品回收站</w:t>
                  </w:r>
                </w:p>
              </w:tc>
              <w:tc>
                <w:tcPr>
                  <w:tcW w:w="93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0.5t/a</w:t>
                  </w:r>
                </w:p>
              </w:tc>
              <w:tc>
                <w:tcPr>
                  <w:tcW w:w="3294"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ind w:left="0" w:leftChars="0" w:firstLine="0" w:firstLineChars="0"/>
              <w:rPr>
                <w:rFonts w:hint="eastAsia" w:ascii="黑体" w:hAnsi="黑体" w:eastAsia="黑体"/>
                <w:snapToGrid w:val="0"/>
                <w:color w:val="auto"/>
                <w:sz w:val="30"/>
                <w:szCs w:val="30"/>
                <w:highlight w:val="none"/>
                <w:vertAlign w:val="baseline"/>
              </w:rPr>
            </w:pPr>
          </w:p>
        </w:tc>
      </w:tr>
    </w:tbl>
    <w:p>
      <w:pPr>
        <w:ind w:left="0" w:leftChars="0" w:firstLine="0" w:firstLineChars="0"/>
        <w:rPr>
          <w:rFonts w:hint="eastAsia" w:ascii="黑体" w:hAnsi="黑体" w:eastAsia="黑体"/>
          <w:snapToGrid w:val="0"/>
          <w:color w:val="auto"/>
          <w:sz w:val="30"/>
          <w:szCs w:val="30"/>
          <w:highlight w:val="none"/>
          <w:vertAlign w:val="baseline"/>
        </w:rPr>
      </w:pPr>
      <w:r>
        <w:rPr>
          <w:rFonts w:hint="eastAsia" w:ascii="黑体" w:hAnsi="黑体" w:eastAsia="黑体"/>
          <w:snapToGrid w:val="0"/>
          <w:color w:val="auto"/>
          <w:sz w:val="30"/>
          <w:szCs w:val="30"/>
          <w:highlight w:val="none"/>
        </w:rPr>
        <w:br w:type="page"/>
      </w:r>
    </w:p>
    <w:p>
      <w:pPr>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50" w:type="dxa"/>
            <w:tcBorders>
              <w:tl2br w:val="nil"/>
              <w:tr2bl w:val="nil"/>
            </w:tcBorders>
          </w:tcPr>
          <w:p>
            <w:pPr>
              <w:rPr>
                <w:rFonts w:hint="eastAsia" w:ascii="黑体" w:hAnsi="黑体" w:eastAsia="黑体"/>
                <w:snapToGrid w:val="0"/>
                <w:color w:val="auto"/>
                <w:sz w:val="30"/>
                <w:szCs w:val="30"/>
                <w:highlight w:val="none"/>
                <w:vertAlign w:val="baseline"/>
              </w:rPr>
            </w:pPr>
          </w:p>
        </w:tc>
        <w:tc>
          <w:tcPr>
            <w:tcW w:w="8708"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4.1.2一般工业固体废物管理措施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1</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贮存、处置场的建设类型，必须与将要堆放的一般工业</w:t>
            </w:r>
            <w:r>
              <w:rPr>
                <w:rFonts w:hint="default" w:ascii="Times New Roman" w:hAnsi="Times New Roman" w:eastAsia="宋体" w:cs="Times New Roman"/>
                <w:color w:val="auto"/>
                <w:sz w:val="24"/>
                <w:szCs w:val="21"/>
                <w:highlight w:val="none"/>
                <w:shd w:val="clear" w:color="auto" w:fill="auto"/>
                <w:lang w:eastAsia="zh-CN"/>
              </w:rPr>
              <w:t>固</w:t>
            </w:r>
            <w:r>
              <w:rPr>
                <w:rFonts w:hint="default" w:ascii="Times New Roman" w:hAnsi="Times New Roman" w:eastAsia="宋体" w:cs="Times New Roman"/>
                <w:color w:val="auto"/>
                <w:sz w:val="24"/>
                <w:szCs w:val="21"/>
                <w:highlight w:val="none"/>
                <w:shd w:val="clear" w:color="auto" w:fill="auto"/>
              </w:rPr>
              <w:t>体废物的类别相一致。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2</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贮存、处置场应采取防止粉尘污染的措施。</w:t>
            </w:r>
          </w:p>
          <w:p>
            <w:pPr>
              <w:numPr>
                <w:ilvl w:val="0"/>
                <w:numId w:val="0"/>
              </w:numPr>
              <w:bidi w:val="0"/>
              <w:ind w:leftChars="200"/>
              <w:rPr>
                <w:rFonts w:hint="eastAsia"/>
                <w:color w:val="auto"/>
                <w:sz w:val="24"/>
                <w:szCs w:val="24"/>
                <w:highlight w:val="none"/>
                <w:lang w:val="en-US" w:eastAsia="zh-CN"/>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3</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为加强监督管理，贮存、处置场应设置环境保护图形标志。</w:t>
            </w:r>
          </w:p>
          <w:p>
            <w:pPr>
              <w:bidi w:val="0"/>
              <w:rPr>
                <w:rFonts w:hint="eastAsia"/>
                <w:color w:val="auto"/>
                <w:lang w:val="en-US" w:eastAsia="zh-CN"/>
              </w:rPr>
            </w:pPr>
            <w:r>
              <w:rPr>
                <w:rFonts w:hint="eastAsia"/>
                <w:color w:val="auto"/>
                <w:lang w:val="en-US" w:eastAsia="zh-CN"/>
              </w:rPr>
              <w:t>本项目产生的一般工业固态废物均暂存于一般固废暂存区，定期外售废品回收站。</w:t>
            </w:r>
          </w:p>
          <w:p>
            <w:pPr>
              <w:numPr>
                <w:ilvl w:val="0"/>
                <w:numId w:val="0"/>
              </w:numPr>
              <w:bidi w:val="0"/>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4.2危险废物</w:t>
            </w:r>
          </w:p>
          <w:p>
            <w:pPr>
              <w:bidi w:val="0"/>
              <w:rPr>
                <w:rFonts w:hint="eastAsia"/>
                <w:b/>
                <w:bCs/>
                <w:color w:val="auto"/>
                <w:sz w:val="24"/>
                <w:szCs w:val="24"/>
                <w:highlight w:val="none"/>
                <w:lang w:val="en-US" w:eastAsia="zh-CN"/>
              </w:rPr>
            </w:pPr>
            <w:r>
              <w:rPr>
                <w:rFonts w:hint="eastAsia" w:cs="Times New Roman"/>
                <w:b/>
                <w:bCs/>
                <w:color w:val="auto"/>
                <w:sz w:val="24"/>
                <w:szCs w:val="24"/>
                <w:highlight w:val="none"/>
                <w:lang w:val="en-US" w:eastAsia="zh-CN"/>
              </w:rPr>
              <w:t>4.2.1</w:t>
            </w:r>
            <w:r>
              <w:rPr>
                <w:rFonts w:hint="default"/>
                <w:b/>
                <w:bCs/>
                <w:color w:val="auto"/>
                <w:sz w:val="24"/>
                <w:szCs w:val="24"/>
                <w:highlight w:val="none"/>
              </w:rPr>
              <w:t>危险废物基本情况</w:t>
            </w:r>
          </w:p>
          <w:p>
            <w:pPr>
              <w:bidi w:val="0"/>
              <w:rPr>
                <w:rFonts w:hint="eastAsia" w:eastAsia="宋体"/>
                <w:b w:val="0"/>
                <w:bCs w:val="0"/>
                <w:color w:val="auto"/>
                <w:highlight w:val="none"/>
                <w:lang w:val="en-US" w:eastAsia="zh-CN"/>
              </w:rPr>
            </w:pPr>
            <w:r>
              <w:rPr>
                <w:rFonts w:hint="eastAsia"/>
                <w:color w:val="auto"/>
                <w:sz w:val="24"/>
                <w:szCs w:val="24"/>
                <w:highlight w:val="none"/>
                <w:lang w:val="en-US" w:eastAsia="zh-CN"/>
              </w:rPr>
              <w:t>本项目产生的危险废物主要为设备维护保养过程产生的废润滑油、废润滑油桶；生产过程中产生的</w:t>
            </w:r>
            <w:r>
              <w:rPr>
                <w:rFonts w:hint="eastAsia"/>
                <w:color w:val="auto"/>
                <w:lang w:val="en-US" w:eastAsia="zh-CN"/>
              </w:rPr>
              <w:t>废包装桶（导电浆料配制原料包装桶）；废气治理设施定期更换的废活性炭</w:t>
            </w:r>
            <w:r>
              <w:rPr>
                <w:rFonts w:hint="eastAsia" w:cs="Times New Roman"/>
                <w:b w:val="0"/>
                <w:bCs w:val="0"/>
                <w:snapToGrid w:val="0"/>
                <w:color w:val="auto"/>
                <w:kern w:val="0"/>
                <w:sz w:val="24"/>
                <w:szCs w:val="21"/>
                <w:highlight w:val="none"/>
                <w:shd w:val="clear" w:color="auto" w:fill="auto"/>
                <w:lang w:val="en-US" w:eastAsia="zh-CN" w:bidi="ar-SA"/>
              </w:rPr>
              <w:t>。</w:t>
            </w:r>
          </w:p>
          <w:p>
            <w:pPr>
              <w:bidi w:val="0"/>
              <w:rPr>
                <w:rFonts w:hint="eastAsia"/>
                <w:color w:val="auto"/>
                <w:lang w:val="en-US" w:eastAsia="zh-CN"/>
              </w:rPr>
            </w:pPr>
            <w:r>
              <w:rPr>
                <w:rFonts w:hint="default"/>
                <w:color w:val="auto"/>
                <w:sz w:val="24"/>
                <w:szCs w:val="24"/>
                <w:highlight w:val="none"/>
              </w:rPr>
              <w:t>根据《国家危险废物名录</w:t>
            </w:r>
            <w:r>
              <w:rPr>
                <w:rFonts w:hint="eastAsia"/>
                <w:color w:val="auto"/>
                <w:sz w:val="24"/>
                <w:szCs w:val="24"/>
                <w:highlight w:val="none"/>
              </w:rPr>
              <w:t>（2021年版）</w:t>
            </w:r>
            <w:r>
              <w:rPr>
                <w:rFonts w:hint="default"/>
                <w:color w:val="auto"/>
                <w:sz w:val="24"/>
                <w:szCs w:val="24"/>
                <w:highlight w:val="none"/>
              </w:rPr>
              <w:t>》中的规定</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本项目</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rPr>
                <w:rFonts w:hint="default"/>
                <w:color w:val="auto"/>
                <w:lang w:val="en-US" w:eastAsia="zh-CN"/>
              </w:rPr>
            </w:pPr>
          </w:p>
          <w:p>
            <w:pPr>
              <w:bidi w:val="0"/>
              <w:ind w:left="0" w:leftChars="0" w:firstLine="0" w:firstLineChars="0"/>
              <w:rPr>
                <w:rFonts w:hint="default"/>
                <w:color w:val="auto"/>
                <w:lang w:val="en-US" w:eastAsia="zh-CN"/>
              </w:rPr>
            </w:pPr>
          </w:p>
        </w:tc>
      </w:tr>
    </w:tbl>
    <w:p>
      <w:pPr>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snapToGrid w:val="0"/>
          <w:color w:val="auto"/>
          <w:sz w:val="30"/>
          <w:szCs w:val="30"/>
          <w:highlight w:val="none"/>
        </w:rPr>
        <w:br w:type="page"/>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31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985" w:type="dxa"/>
            <w:tcBorders>
              <w:tl2br w:val="nil"/>
              <w:tr2bl w:val="nil"/>
            </w:tcBorders>
            <w:vAlign w:val="top"/>
          </w:tcPr>
          <w:p>
            <w:pPr>
              <w:rPr>
                <w:rFonts w:hint="eastAsia" w:ascii="黑体" w:hAnsi="黑体" w:eastAsia="黑体"/>
                <w:snapToGrid w:val="0"/>
                <w:color w:val="auto"/>
                <w:sz w:val="30"/>
                <w:szCs w:val="30"/>
                <w:highlight w:val="none"/>
                <w:vertAlign w:val="baseline"/>
              </w:rPr>
            </w:pPr>
          </w:p>
        </w:tc>
        <w:tc>
          <w:tcPr>
            <w:tcW w:w="13189" w:type="dxa"/>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40</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92"/>
              <w:gridCol w:w="2170"/>
              <w:gridCol w:w="849"/>
              <w:gridCol w:w="1155"/>
              <w:gridCol w:w="696"/>
              <w:gridCol w:w="732"/>
              <w:gridCol w:w="864"/>
              <w:gridCol w:w="1322"/>
              <w:gridCol w:w="1407"/>
              <w:gridCol w:w="920"/>
              <w:gridCol w:w="1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21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4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15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3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4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2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91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设备维护保养</w:t>
                  </w:r>
                </w:p>
              </w:tc>
              <w:tc>
                <w:tcPr>
                  <w:tcW w:w="21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  900-217-08）</w:t>
                  </w:r>
                </w:p>
              </w:tc>
              <w:tc>
                <w:tcPr>
                  <w:tcW w:w="84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6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7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003</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3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2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003</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919"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危险废物的收集及临时存放应严格执行《危险废物贮存污染控制标准》（GB18597-20</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eastAsia="宋体"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p>
              </w:tc>
              <w:tc>
                <w:tcPr>
                  <w:tcW w:w="21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ascii="Times New Roman" w:hAnsi="Times New Roman" w:cs="Times New Roman"/>
                      <w:color w:val="auto"/>
                      <w:sz w:val="21"/>
                      <w:szCs w:val="21"/>
                      <w:highlight w:val="none"/>
                      <w:shd w:val="clear" w:color="auto" w:fill="auto"/>
                      <w:lang w:val="en-US" w:eastAsia="zh-CN"/>
                    </w:rPr>
                    <w:t>润滑</w:t>
                  </w:r>
                  <w:r>
                    <w:rPr>
                      <w:rFonts w:hint="eastAsia" w:ascii="Times New Roman" w:hAnsi="Times New Roman" w:eastAsia="宋体" w:cs="Times New Roman"/>
                      <w:color w:val="auto"/>
                      <w:sz w:val="21"/>
                      <w:szCs w:val="21"/>
                      <w:highlight w:val="none"/>
                      <w:shd w:val="clear" w:color="auto" w:fill="auto"/>
                      <w:lang w:val="en-US" w:eastAsia="zh-CN"/>
                    </w:rPr>
                    <w:t>油桶</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900-249-08）</w:t>
                  </w:r>
                </w:p>
              </w:tc>
              <w:tc>
                <w:tcPr>
                  <w:tcW w:w="84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石油类</w:t>
                  </w:r>
                </w:p>
              </w:tc>
              <w:tc>
                <w:tcPr>
                  <w:tcW w:w="6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2个</w:t>
                  </w:r>
                  <w:r>
                    <w:rPr>
                      <w:rFonts w:hint="eastAsia" w:ascii="Times New Roman" w:hAnsi="Times New Roman" w:eastAsia="宋体" w:cs="Times New Roman"/>
                      <w:color w:val="auto"/>
                      <w:sz w:val="21"/>
                      <w:szCs w:val="21"/>
                      <w:highlight w:val="none"/>
                      <w:shd w:val="clear" w:color="auto" w:fill="auto"/>
                      <w:lang w:val="en-US" w:eastAsia="zh-CN"/>
                    </w:rPr>
                    <w:t>/a</w:t>
                  </w:r>
                </w:p>
              </w:tc>
              <w:tc>
                <w:tcPr>
                  <w:tcW w:w="13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2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2个</w:t>
                  </w:r>
                  <w:r>
                    <w:rPr>
                      <w:rFonts w:hint="eastAsia" w:ascii="Times New Roman" w:hAnsi="Times New Roman" w:eastAsia="宋体" w:cs="Times New Roman"/>
                      <w:color w:val="auto"/>
                      <w:sz w:val="21"/>
                      <w:szCs w:val="21"/>
                      <w:highlight w:val="none"/>
                      <w:shd w:val="clear" w:color="auto" w:fill="auto"/>
                      <w:lang w:val="en-US" w:eastAsia="zh-CN"/>
                    </w:rPr>
                    <w: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生产过程</w:t>
                  </w:r>
                </w:p>
              </w:tc>
              <w:tc>
                <w:tcPr>
                  <w:tcW w:w="21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废包装桶（导电浆料配制原料包装桶）</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HW49  900-041-49</w:t>
                  </w:r>
                  <w:r>
                    <w:rPr>
                      <w:rFonts w:hint="eastAsia" w:ascii="Times New Roman" w:hAnsi="Times New Roman" w:cs="Times New Roman"/>
                      <w:color w:val="auto"/>
                      <w:sz w:val="21"/>
                      <w:szCs w:val="21"/>
                      <w:highlight w:val="none"/>
                      <w:shd w:val="clear" w:color="auto" w:fill="auto"/>
                      <w:lang w:val="en-US" w:eastAsia="zh-CN"/>
                    </w:rPr>
                    <w:t>）</w:t>
                  </w:r>
                </w:p>
              </w:tc>
              <w:tc>
                <w:tcPr>
                  <w:tcW w:w="84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8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0.05t/a</w:t>
                  </w:r>
                </w:p>
              </w:tc>
              <w:tc>
                <w:tcPr>
                  <w:tcW w:w="132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2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89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废气治理设施</w:t>
                  </w:r>
                </w:p>
              </w:tc>
              <w:tc>
                <w:tcPr>
                  <w:tcW w:w="21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lang w:val="en-US" w:eastAsia="zh-CN"/>
                    </w:rPr>
                    <w:t>废活性炭</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（HW49</w:t>
                  </w:r>
                  <w:r>
                    <w:rPr>
                      <w:rFonts w:hint="eastAsia" w:ascii="Times New Roman" w:hAnsi="Times New Roman"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900-039-49）</w:t>
                  </w:r>
                </w:p>
              </w:tc>
              <w:tc>
                <w:tcPr>
                  <w:tcW w:w="84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15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w:t>
                  </w:r>
                </w:p>
              </w:tc>
              <w:tc>
                <w:tcPr>
                  <w:tcW w:w="8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1.5t/</w:t>
                  </w: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a</w:t>
                  </w:r>
                </w:p>
              </w:tc>
              <w:tc>
                <w:tcPr>
                  <w:tcW w:w="2729"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w:t>
                  </w:r>
                  <w:r>
                    <w:rPr>
                      <w:rFonts w:hint="eastAsia" w:cs="Times New Roman"/>
                      <w:color w:val="auto"/>
                      <w:sz w:val="21"/>
                      <w:szCs w:val="21"/>
                      <w:highlight w:val="none"/>
                      <w:shd w:val="clear" w:color="auto" w:fill="auto"/>
                      <w:lang w:val="en-US" w:eastAsia="zh-CN"/>
                    </w:rPr>
                    <w:t>直接由有资质单位运走处置，不在厂区储存</w:t>
                  </w:r>
                </w:p>
              </w:tc>
              <w:tc>
                <w:tcPr>
                  <w:tcW w:w="92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1.5t/</w:t>
                  </w: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pPr>
              <w:bidi w:val="0"/>
              <w:jc w:val="left"/>
              <w:rPr>
                <w:rFonts w:hint="default" w:eastAsia="宋体"/>
                <w:color w:val="auto"/>
                <w:highlight w:val="none"/>
                <w:vertAlign w:val="baseline"/>
                <w:lang w:val="en-US" w:eastAsia="zh-CN"/>
              </w:rPr>
            </w:pPr>
            <w:r>
              <w:rPr>
                <w:rFonts w:hint="eastAsia"/>
                <w:color w:val="auto"/>
                <w:highlight w:val="none"/>
                <w:vertAlign w:val="baseline"/>
                <w:lang w:val="en-US" w:eastAsia="zh-CN"/>
              </w:rPr>
              <w:t>本项目建成后，全厂</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41</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本项目建成后全厂危险废物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4"/>
              <w:tblW w:w="12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2135"/>
              <w:gridCol w:w="843"/>
              <w:gridCol w:w="1064"/>
              <w:gridCol w:w="697"/>
              <w:gridCol w:w="733"/>
              <w:gridCol w:w="852"/>
              <w:gridCol w:w="1324"/>
              <w:gridCol w:w="1409"/>
              <w:gridCol w:w="908"/>
              <w:gridCol w:w="1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91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设备维护保养</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  900-217-08）</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石油类</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00</w:t>
                  </w:r>
                  <w:r>
                    <w:rPr>
                      <w:rFonts w:hint="eastAsia" w:cs="Times New Roman"/>
                      <w:color w:val="auto"/>
                      <w:sz w:val="21"/>
                      <w:szCs w:val="21"/>
                      <w:highlight w:val="none"/>
                      <w:shd w:val="clear" w:color="auto" w:fill="auto"/>
                      <w:lang w:val="en-US" w:eastAsia="zh-CN"/>
                    </w:rPr>
                    <w:t>6</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cs="Times New Roman"/>
                      <w:color w:val="auto"/>
                      <w:sz w:val="21"/>
                      <w:szCs w:val="21"/>
                      <w:highlight w:val="none"/>
                      <w:shd w:val="clear" w:color="auto" w:fill="auto"/>
                      <w:lang w:val="en-US" w:eastAsia="zh-CN"/>
                    </w:rPr>
                    <w:t>00</w:t>
                  </w:r>
                  <w:r>
                    <w:rPr>
                      <w:rFonts w:hint="eastAsia" w:cs="Times New Roman"/>
                      <w:color w:val="auto"/>
                      <w:sz w:val="21"/>
                      <w:szCs w:val="21"/>
                      <w:highlight w:val="none"/>
                      <w:shd w:val="clear" w:color="auto" w:fill="auto"/>
                      <w:lang w:val="en-US" w:eastAsia="zh-CN"/>
                    </w:rPr>
                    <w:t>6</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919"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危险废物的收集及临时存放应严格执行《危险废物贮存污染控制标准》（GB18597-20</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eastAsia="宋体"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ascii="Times New Roman" w:hAnsi="Times New Roman" w:cs="Times New Roman"/>
                      <w:color w:val="auto"/>
                      <w:sz w:val="21"/>
                      <w:szCs w:val="21"/>
                      <w:highlight w:val="none"/>
                      <w:shd w:val="clear" w:color="auto" w:fill="auto"/>
                      <w:lang w:val="en-US" w:eastAsia="zh-CN"/>
                    </w:rPr>
                    <w:t>润滑</w:t>
                  </w:r>
                  <w:r>
                    <w:rPr>
                      <w:rFonts w:hint="eastAsia" w:ascii="Times New Roman" w:hAnsi="Times New Roman" w:eastAsia="宋体" w:cs="Times New Roman"/>
                      <w:color w:val="auto"/>
                      <w:sz w:val="21"/>
                      <w:szCs w:val="21"/>
                      <w:highlight w:val="none"/>
                      <w:shd w:val="clear" w:color="auto" w:fill="auto"/>
                      <w:lang w:val="en-US" w:eastAsia="zh-CN"/>
                    </w:rPr>
                    <w:t>油桶</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（HW08</w:t>
                  </w:r>
                  <w:r>
                    <w:rPr>
                      <w:rFonts w:hint="eastAsia" w:ascii="Times New Roman" w:hAnsi="Times New Roman" w:cs="Times New Roman"/>
                      <w:color w:val="auto"/>
                      <w:sz w:val="21"/>
                      <w:szCs w:val="21"/>
                      <w:highlight w:val="none"/>
                      <w:shd w:val="clear" w:color="auto" w:fill="auto"/>
                      <w:lang w:val="en-US" w:eastAsia="zh-CN"/>
                    </w:rPr>
                    <w:t xml:space="preserve"> </w:t>
                  </w:r>
                  <w:r>
                    <w:rPr>
                      <w:rFonts w:hint="eastAsia"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900-249-08）</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石油类</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4个</w:t>
                  </w:r>
                  <w:r>
                    <w:rPr>
                      <w:rFonts w:hint="eastAsia" w:ascii="Times New Roman" w:hAnsi="Times New Roman" w:eastAsia="宋体" w:cs="Times New Roman"/>
                      <w:color w:val="auto"/>
                      <w:sz w:val="21"/>
                      <w:szCs w:val="21"/>
                      <w:highlight w:val="none"/>
                      <w:shd w:val="clear" w:color="auto" w:fill="auto"/>
                      <w:lang w:val="en-US" w:eastAsia="zh-CN"/>
                    </w:rPr>
                    <w:t>/a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4个</w:t>
                  </w:r>
                  <w:r>
                    <w:rPr>
                      <w:rFonts w:hint="eastAsia" w:ascii="Times New Roman" w:hAnsi="Times New Roman" w:eastAsia="宋体" w:cs="Times New Roman"/>
                      <w:color w:val="auto"/>
                      <w:sz w:val="21"/>
                      <w:szCs w:val="21"/>
                      <w:highlight w:val="none"/>
                      <w:shd w:val="clear" w:color="auto" w:fill="auto"/>
                      <w:lang w:val="en-US" w:eastAsia="zh-CN"/>
                    </w:rPr>
                    <w: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生产过程</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废包装桶（导电浆料配制原料包装桶）</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HW49  900-041-49</w:t>
                  </w:r>
                  <w:r>
                    <w:rPr>
                      <w:rFonts w:hint="eastAsia" w:ascii="Times New Roman" w:hAnsi="Times New Roman" w:cs="Times New Roman"/>
                      <w:color w:val="auto"/>
                      <w:sz w:val="21"/>
                      <w:szCs w:val="21"/>
                      <w:highlight w:val="none"/>
                      <w:shd w:val="clear" w:color="auto" w:fill="auto"/>
                      <w:lang w:val="en-US" w:eastAsia="zh-CN"/>
                    </w:rPr>
                    <w:t>）</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T/In</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0.05t/a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废气治理设施</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lang w:val="en-US" w:eastAsia="zh-CN"/>
                    </w:rPr>
                    <w:t>废活性炭</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（HW49</w:t>
                  </w:r>
                  <w:r>
                    <w:rPr>
                      <w:rFonts w:hint="eastAsia" w:ascii="Times New Roman" w:hAnsi="Times New Roman" w:cs="Times New Roman"/>
                      <w:color w:val="auto"/>
                      <w:sz w:val="21"/>
                      <w:szCs w:val="21"/>
                      <w:highlight w:val="none"/>
                      <w:shd w:val="clear" w:color="auto" w:fill="auto"/>
                      <w:lang w:val="en-US" w:eastAsia="zh-CN"/>
                    </w:rPr>
                    <w:t xml:space="preserve"> </w:t>
                  </w:r>
                  <w:r>
                    <w:rPr>
                      <w:rFonts w:hint="eastAsia" w:ascii="Times New Roman" w:hAnsi="Times New Roman" w:eastAsia="宋体" w:cs="Times New Roman"/>
                      <w:color w:val="auto"/>
                      <w:sz w:val="21"/>
                      <w:szCs w:val="21"/>
                      <w:highlight w:val="none"/>
                      <w:shd w:val="clear" w:color="auto" w:fill="auto"/>
                      <w:lang w:val="en-US" w:eastAsia="zh-CN"/>
                    </w:rPr>
                    <w:t xml:space="preserve"> 900-039-49）</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1.5t/</w:t>
                  </w: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a</w:t>
                  </w:r>
                </w:p>
              </w:tc>
              <w:tc>
                <w:tcPr>
                  <w:tcW w:w="2733"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专用容器密闭收集，</w:t>
                  </w:r>
                  <w:r>
                    <w:rPr>
                      <w:rFonts w:hint="eastAsia" w:cs="Times New Roman"/>
                      <w:color w:val="auto"/>
                      <w:sz w:val="21"/>
                      <w:szCs w:val="21"/>
                      <w:highlight w:val="none"/>
                      <w:shd w:val="clear" w:color="auto" w:fill="auto"/>
                      <w:lang w:val="en-US" w:eastAsia="zh-CN"/>
                    </w:rPr>
                    <w:t>直接由有资质单位运走处置，不在厂区储存</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1.5t/</w:t>
                  </w:r>
                  <w:r>
                    <w:rPr>
                      <w:rFonts w:hint="eastAsia" w:cs="Times New Roman"/>
                      <w:color w:val="auto"/>
                      <w:sz w:val="21"/>
                      <w:szCs w:val="21"/>
                      <w:highlight w:val="none"/>
                      <w:shd w:val="clear" w:color="auto" w:fill="auto"/>
                      <w:lang w:val="en-US" w:eastAsia="zh-CN"/>
                    </w:rPr>
                    <w:t>2</w:t>
                  </w:r>
                  <w:r>
                    <w:rPr>
                      <w:rFonts w:hint="eastAsia" w:ascii="Times New Roman" w:hAnsi="Times New Roman" w:cs="Times New Roman"/>
                      <w:color w:val="auto"/>
                      <w:sz w:val="21"/>
                      <w:szCs w:val="21"/>
                      <w:highlight w:val="none"/>
                      <w:shd w:val="clear" w:color="auto" w:fill="auto"/>
                      <w:lang w:val="en-US" w:eastAsia="zh-CN"/>
                    </w:rPr>
                    <w: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喷淋废水</w:t>
                  </w:r>
                  <w:r>
                    <w:rPr>
                      <w:rFonts w:hint="eastAsia" w:cs="Times New Roman"/>
                      <w:color w:val="auto"/>
                      <w:sz w:val="21"/>
                      <w:szCs w:val="21"/>
                      <w:highlight w:val="none"/>
                      <w:shd w:val="clear" w:color="auto" w:fill="auto"/>
                      <w:lang w:val="en-US" w:eastAsia="zh-CN"/>
                    </w:rPr>
                    <w:t>（HW34 900-249-34）</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废酸</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C，T</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更换后存放于耐腐蚀防渗漏的容器，暂存于危废间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定期委托有资质单位运走处置</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shd w:val="clear" w:color="auto" w:fill="auto"/>
                      <w:lang w:val="en-US" w:eastAsia="zh-CN"/>
                    </w:rPr>
                    <w:t>镀膜过程</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镀膜液包装桶</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（HW49  900-041-49）</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镀膜液</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T/In</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4个/a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定期由厂家回收，循环使用</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4个/a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04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shd w:val="clear" w:color="auto" w:fill="auto"/>
                      <w:lang w:val="en-US" w:eastAsia="zh-CN"/>
                    </w:rPr>
                    <w:t>印电极过程</w:t>
                  </w:r>
                </w:p>
              </w:tc>
              <w:tc>
                <w:tcPr>
                  <w:tcW w:w="213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电极银浆包装罐</w:t>
                  </w:r>
                </w:p>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（HW49  900-041-49）</w:t>
                  </w:r>
                </w:p>
              </w:tc>
              <w:tc>
                <w:tcPr>
                  <w:tcW w:w="8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106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电极银浆</w:t>
                  </w:r>
                </w:p>
              </w:tc>
              <w:tc>
                <w:tcPr>
                  <w:tcW w:w="6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固态</w:t>
                  </w:r>
                </w:p>
              </w:tc>
              <w:tc>
                <w:tcPr>
                  <w:tcW w:w="7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T/In</w:t>
                  </w:r>
                </w:p>
              </w:tc>
              <w:tc>
                <w:tcPr>
                  <w:tcW w:w="85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44个/a</w:t>
                  </w:r>
                </w:p>
              </w:tc>
              <w:tc>
                <w:tcPr>
                  <w:tcW w:w="132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14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定期由厂家回收，循环使用</w:t>
                  </w:r>
                </w:p>
              </w:tc>
              <w:tc>
                <w:tcPr>
                  <w:tcW w:w="90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44个/a</w:t>
                  </w:r>
                </w:p>
              </w:tc>
              <w:tc>
                <w:tcPr>
                  <w:tcW w:w="191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bl>
          <w:p>
            <w:pPr>
              <w:rPr>
                <w:rFonts w:hint="default" w:ascii="黑体" w:hAnsi="黑体" w:eastAsia="黑体"/>
                <w:snapToGrid w:val="0"/>
                <w:color w:val="auto"/>
                <w:sz w:val="30"/>
                <w:szCs w:val="30"/>
                <w:highlight w:val="none"/>
                <w:vertAlign w:val="baseline"/>
                <w:lang w:val="en-US" w:eastAsia="zh-CN"/>
              </w:rPr>
            </w:pPr>
          </w:p>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rPr>
                <w:rFonts w:hint="eastAsia" w:ascii="黑体" w:hAnsi="黑体" w:eastAsia="黑体"/>
                <w:snapToGrid w:val="0"/>
                <w:color w:val="auto"/>
                <w:sz w:val="30"/>
                <w:szCs w:val="30"/>
                <w:highlight w:val="none"/>
                <w:vertAlign w:val="baseline"/>
              </w:rPr>
            </w:pPr>
          </w:p>
          <w:p>
            <w:pPr>
              <w:ind w:left="0" w:leftChars="0" w:firstLine="0" w:firstLineChars="0"/>
              <w:rPr>
                <w:rFonts w:hint="eastAsia" w:ascii="黑体" w:hAnsi="黑体" w:eastAsia="黑体"/>
                <w:snapToGrid w:val="0"/>
                <w:color w:val="auto"/>
                <w:sz w:val="30"/>
                <w:szCs w:val="30"/>
                <w:highlight w:val="none"/>
                <w:vertAlign w:val="baseline"/>
              </w:rPr>
            </w:pPr>
          </w:p>
        </w:tc>
      </w:tr>
    </w:tbl>
    <w:p>
      <w:pPr>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snapToGrid w:val="0"/>
          <w:color w:val="auto"/>
          <w:sz w:val="30"/>
          <w:szCs w:val="30"/>
          <w:highlight w:val="none"/>
        </w:rPr>
        <w:br w:type="page"/>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trPr>
        <w:tc>
          <w:tcPr>
            <w:tcW w:w="941" w:type="dxa"/>
            <w:tcBorders>
              <w:tl2br w:val="nil"/>
              <w:tr2bl w:val="nil"/>
            </w:tcBorders>
          </w:tcPr>
          <w:p>
            <w:pPr>
              <w:rPr>
                <w:rFonts w:hint="eastAsia" w:ascii="黑体" w:hAnsi="黑体" w:eastAsia="黑体"/>
                <w:snapToGrid w:val="0"/>
                <w:color w:val="auto"/>
                <w:sz w:val="30"/>
                <w:szCs w:val="30"/>
                <w:highlight w:val="none"/>
                <w:vertAlign w:val="baseline"/>
              </w:rPr>
            </w:pPr>
          </w:p>
        </w:tc>
        <w:tc>
          <w:tcPr>
            <w:tcW w:w="8517" w:type="dxa"/>
            <w:tcBorders>
              <w:tl2br w:val="nil"/>
              <w:tr2bl w:val="nil"/>
            </w:tcBorders>
            <w:vAlign w:val="top"/>
          </w:tcPr>
          <w:p>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rightChars="0" w:firstLine="482" w:firstLineChars="200"/>
              <w:textAlignment w:val="auto"/>
              <w:rPr>
                <w:rFonts w:hint="default"/>
                <w:b/>
                <w:bCs/>
                <w:color w:val="auto"/>
                <w:sz w:val="24"/>
                <w:szCs w:val="24"/>
                <w:highlight w:val="none"/>
              </w:rPr>
            </w:pPr>
            <w:r>
              <w:rPr>
                <w:rFonts w:hint="eastAsia" w:cs="Times New Roman"/>
                <w:b/>
                <w:bCs/>
                <w:color w:val="auto"/>
                <w:sz w:val="24"/>
                <w:szCs w:val="24"/>
                <w:highlight w:val="none"/>
                <w:lang w:val="en-US" w:eastAsia="zh-CN"/>
              </w:rPr>
              <w:t>4.2.2</w:t>
            </w:r>
            <w:r>
              <w:rPr>
                <w:rFonts w:hint="default"/>
                <w:b/>
                <w:bCs/>
                <w:color w:val="auto"/>
                <w:sz w:val="24"/>
                <w:szCs w:val="24"/>
                <w:highlight w:val="none"/>
              </w:rPr>
              <w:t>危险废物环境管理要求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危险废物应按</w:t>
            </w:r>
            <w:r>
              <w:rPr>
                <w:rFonts w:hint="eastAsia"/>
                <w:color w:val="auto"/>
                <w:sz w:val="24"/>
                <w:szCs w:val="24"/>
                <w:highlight w:val="none"/>
                <w:lang w:eastAsia="zh-CN"/>
              </w:rPr>
              <w:t>《危险废物贮存污染控制标准》（GB18597-2023）</w:t>
            </w:r>
            <w:r>
              <w:rPr>
                <w:rFonts w:hint="default"/>
                <w:color w:val="auto"/>
                <w:sz w:val="24"/>
                <w:szCs w:val="24"/>
                <w:highlight w:val="none"/>
              </w:rPr>
              <w:t>、《危险废物收集、贮存、运输技术规范》</w:t>
            </w:r>
            <w:r>
              <w:rPr>
                <w:rFonts w:hint="eastAsia"/>
                <w:color w:val="auto"/>
                <w:sz w:val="24"/>
                <w:szCs w:val="24"/>
                <w:highlight w:val="none"/>
                <w:lang w:eastAsia="zh-CN"/>
              </w:rPr>
              <w:t>（</w:t>
            </w:r>
            <w:r>
              <w:rPr>
                <w:rFonts w:hint="default"/>
                <w:color w:val="auto"/>
                <w:sz w:val="24"/>
                <w:szCs w:val="24"/>
                <w:highlight w:val="none"/>
              </w:rPr>
              <w:t>HJ2025-2012</w:t>
            </w:r>
            <w:r>
              <w:rPr>
                <w:rFonts w:hint="eastAsia"/>
                <w:color w:val="auto"/>
                <w:sz w:val="24"/>
                <w:szCs w:val="24"/>
                <w:highlight w:val="none"/>
                <w:lang w:eastAsia="zh-CN"/>
              </w:rPr>
              <w:t>）</w:t>
            </w:r>
            <w:r>
              <w:rPr>
                <w:rFonts w:hint="default"/>
                <w:color w:val="auto"/>
                <w:sz w:val="24"/>
                <w:szCs w:val="24"/>
                <w:highlight w:val="none"/>
              </w:rPr>
              <w:t>和《河北省环境保护厅办公室关于建设全省危险废物智能监控体系的通知》</w:t>
            </w:r>
            <w:r>
              <w:rPr>
                <w:rFonts w:hint="eastAsia"/>
                <w:color w:val="auto"/>
                <w:sz w:val="24"/>
                <w:szCs w:val="24"/>
                <w:highlight w:val="none"/>
                <w:lang w:eastAsia="zh-CN"/>
              </w:rPr>
              <w:t>（</w:t>
            </w:r>
            <w:r>
              <w:rPr>
                <w:rFonts w:hint="default"/>
                <w:color w:val="auto"/>
                <w:sz w:val="24"/>
                <w:szCs w:val="24"/>
                <w:highlight w:val="none"/>
              </w:rPr>
              <w:t>冀环办发[2017]11</w:t>
            </w:r>
            <w:r>
              <w:rPr>
                <w:rFonts w:hint="eastAsia"/>
                <w:color w:val="auto"/>
                <w:sz w:val="24"/>
                <w:szCs w:val="24"/>
                <w:highlight w:val="none"/>
              </w:rPr>
              <w:t>2号</w:t>
            </w:r>
            <w:r>
              <w:rPr>
                <w:rFonts w:hint="eastAsia"/>
                <w:color w:val="auto"/>
                <w:sz w:val="24"/>
                <w:szCs w:val="24"/>
                <w:highlight w:val="none"/>
                <w:lang w:eastAsia="zh-CN"/>
              </w:rPr>
              <w:t>）</w:t>
            </w:r>
            <w:r>
              <w:rPr>
                <w:rFonts w:hint="default"/>
                <w:color w:val="auto"/>
                <w:sz w:val="24"/>
                <w:szCs w:val="24"/>
                <w:highlight w:val="none"/>
              </w:rPr>
              <w:t>、《关于发布&lt;建设项目危险废物环境影响评价指南&gt;的公告》（环境保护部公告2017年第43号）中的相关内容要求进行处理处置。</w:t>
            </w:r>
          </w:p>
          <w:p>
            <w:pPr>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w:t>
            </w:r>
            <w:r>
              <w:rPr>
                <w:rFonts w:hint="default"/>
                <w:color w:val="auto"/>
                <w:highlight w:val="none"/>
              </w:rPr>
              <w:t>拟采取以下措施：</w:t>
            </w:r>
          </w:p>
          <w:p>
            <w:pPr>
              <w:bidi w:val="0"/>
              <w:rPr>
                <w:rFonts w:hint="default"/>
                <w:color w:val="auto"/>
                <w:highlight w:val="none"/>
              </w:rPr>
            </w:pPr>
            <w:r>
              <w:rPr>
                <w:rFonts w:hint="eastAsia"/>
                <w:color w:val="auto"/>
                <w:highlight w:val="none"/>
                <w:lang w:val="en-US" w:eastAsia="zh-CN"/>
              </w:rPr>
              <w:t>4.2.2.1</w:t>
            </w:r>
            <w:r>
              <w:rPr>
                <w:rFonts w:hint="default"/>
                <w:color w:val="auto"/>
                <w:highlight w:val="none"/>
              </w:rPr>
              <w:t>危险废物收集</w:t>
            </w:r>
            <w:r>
              <w:rPr>
                <w:rFonts w:hint="default"/>
                <w:color w:val="auto"/>
                <w:highlight w:val="none"/>
              </w:rPr>
              <w:tab/>
            </w:r>
          </w:p>
          <w:p>
            <w:pPr>
              <w:bidi w:val="0"/>
              <w:rPr>
                <w:rFonts w:hint="default"/>
                <w:color w:val="auto"/>
                <w:highlight w:val="none"/>
              </w:rPr>
            </w:pPr>
            <w:r>
              <w:rPr>
                <w:rFonts w:hint="default"/>
                <w:color w:val="auto"/>
                <w:highlight w:val="none"/>
              </w:rPr>
              <w:t>将</w:t>
            </w:r>
            <w:r>
              <w:rPr>
                <w:rFonts w:hint="eastAsia"/>
                <w:color w:val="auto"/>
                <w:highlight w:val="none"/>
                <w:lang w:val="en-US" w:eastAsia="zh-CN"/>
              </w:rPr>
              <w:t>废润滑油桶装加盖收集，废活性炭采用专用容器密闭收集，喷淋废水采用耐腐蚀防渗漏的容器收集，</w:t>
            </w:r>
            <w:r>
              <w:rPr>
                <w:rFonts w:hint="default"/>
                <w:color w:val="auto"/>
                <w:highlight w:val="none"/>
              </w:rPr>
              <w:t>容器</w:t>
            </w:r>
            <w:r>
              <w:rPr>
                <w:rFonts w:hint="eastAsia"/>
                <w:color w:val="auto"/>
                <w:highlight w:val="none"/>
                <w:lang w:val="en-US" w:eastAsia="zh-CN"/>
              </w:rPr>
              <w:t>应达到防渗、防漏、防腐和强度等要求，内部留有适当的空间，以适应因温度变化等可能引发的收缩和膨胀，防止其导致容器渗漏或永久变形</w:t>
            </w:r>
            <w:r>
              <w:rPr>
                <w:rFonts w:hint="default"/>
                <w:color w:val="auto"/>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eastAsia"/>
                <w:color w:val="auto"/>
                <w:sz w:val="24"/>
                <w:szCs w:val="24"/>
                <w:highlight w:val="none"/>
                <w:lang w:val="en-US" w:eastAsia="zh-CN"/>
              </w:rPr>
              <w:t>4.2.2.2</w:t>
            </w:r>
            <w:r>
              <w:rPr>
                <w:rFonts w:hint="default"/>
                <w:color w:val="auto"/>
                <w:sz w:val="24"/>
                <w:szCs w:val="24"/>
                <w:highlight w:val="none"/>
              </w:rPr>
              <w:t>危险废物贮存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000000"/>
                <w:sz w:val="24"/>
                <w:szCs w:val="24"/>
                <w:highlight w:val="none"/>
              </w:rPr>
            </w:pPr>
            <w:r>
              <w:rPr>
                <w:rFonts w:hint="eastAsia"/>
                <w:color w:val="000000"/>
                <w:sz w:val="24"/>
                <w:szCs w:val="24"/>
                <w:highlight w:val="none"/>
                <w:lang w:val="en-US" w:eastAsia="zh-CN"/>
              </w:rPr>
              <w:t>本项目产生的危险废物均暂存于厂区内现有危废间，</w:t>
            </w:r>
            <w:r>
              <w:rPr>
                <w:rFonts w:hint="eastAsia" w:ascii="Times New Roman"/>
                <w:color w:val="000000"/>
                <w:spacing w:val="0"/>
                <w:sz w:val="24"/>
                <w:szCs w:val="24"/>
                <w:highlight w:val="none"/>
                <w:lang w:val="en-US" w:eastAsia="zh-CN"/>
              </w:rPr>
              <w:t>危废间面积为15m</w:t>
            </w:r>
            <w:r>
              <w:rPr>
                <w:rFonts w:hint="eastAsia" w:ascii="Times New Roman"/>
                <w:color w:val="000000"/>
                <w:spacing w:val="0"/>
                <w:sz w:val="24"/>
                <w:szCs w:val="24"/>
                <w:highlight w:val="none"/>
                <w:vertAlign w:val="superscript"/>
                <w:lang w:val="en-US" w:eastAsia="zh-CN"/>
              </w:rPr>
              <w:t>2</w:t>
            </w:r>
            <w:r>
              <w:rPr>
                <w:rFonts w:ascii="Times New Roman" w:eastAsia="宋体"/>
                <w:color w:val="000000"/>
                <w:spacing w:val="0"/>
                <w:sz w:val="24"/>
                <w:szCs w:val="24"/>
                <w:highlight w:val="none"/>
              </w:rPr>
              <w:t>，</w:t>
            </w:r>
            <w:r>
              <w:rPr>
                <w:rFonts w:hint="eastAsia" w:ascii="Times New Roman" w:eastAsia="宋体"/>
                <w:color w:val="000000"/>
                <w:spacing w:val="0"/>
                <w:sz w:val="24"/>
                <w:szCs w:val="24"/>
                <w:highlight w:val="none"/>
                <w:lang w:val="en-US" w:eastAsia="zh-CN"/>
              </w:rPr>
              <w:t>本项目建成后，废活性炭更换后直接由有资质单位运走处置，不在厂区内储存，同时，其余危险废物增加转运次数，全部危废均每半年转运一次，危废间最大利用面积约8</w:t>
            </w:r>
            <w:r>
              <w:rPr>
                <w:rFonts w:hint="default" w:ascii="Times New Roman" w:eastAsia="宋体"/>
                <w:color w:val="000000"/>
                <w:spacing w:val="0"/>
                <w:sz w:val="24"/>
                <w:szCs w:val="24"/>
                <w:highlight w:val="none"/>
                <w:lang w:val="en-US" w:eastAsia="zh-CN"/>
              </w:rPr>
              <w:t>m</w:t>
            </w:r>
            <w:r>
              <w:rPr>
                <w:rFonts w:hint="default" w:ascii="Times New Roman" w:eastAsia="宋体"/>
                <w:color w:val="000000"/>
                <w:spacing w:val="0"/>
                <w:sz w:val="24"/>
                <w:szCs w:val="24"/>
                <w:highlight w:val="none"/>
                <w:vertAlign w:val="superscript"/>
                <w:lang w:val="en-US" w:eastAsia="zh-CN"/>
              </w:rPr>
              <w:t>2</w:t>
            </w:r>
            <w:r>
              <w:rPr>
                <w:rFonts w:hint="eastAsia" w:ascii="Times New Roman" w:eastAsia="宋体"/>
                <w:color w:val="000000"/>
                <w:spacing w:val="0"/>
                <w:sz w:val="24"/>
                <w:szCs w:val="24"/>
                <w:highlight w:val="none"/>
                <w:lang w:val="en-US" w:eastAsia="zh-CN"/>
              </w:rPr>
              <w:t>，可满足需求</w:t>
            </w:r>
            <w:r>
              <w:rPr>
                <w:rFonts w:hint="eastAsia"/>
                <w:color w:val="000000"/>
                <w:spacing w:val="0"/>
                <w:sz w:val="24"/>
                <w:szCs w:val="24"/>
                <w:highlight w:val="none"/>
                <w:lang w:val="en-US" w:eastAsia="zh-CN"/>
              </w:rPr>
              <w:t>。</w:t>
            </w:r>
            <w:r>
              <w:rPr>
                <w:rFonts w:hint="eastAsia"/>
                <w:color w:val="000000"/>
                <w:highlight w:val="none"/>
                <w:lang w:val="en-US" w:eastAsia="zh-CN"/>
              </w:rPr>
              <w:t>现有危废间</w:t>
            </w:r>
            <w:r>
              <w:rPr>
                <w:rFonts w:hint="default"/>
                <w:color w:val="000000"/>
                <w:highlight w:val="none"/>
              </w:rPr>
              <w:t>已参照</w:t>
            </w:r>
            <w:r>
              <w:rPr>
                <w:rFonts w:hint="eastAsia"/>
                <w:color w:val="000000"/>
                <w:highlight w:val="none"/>
                <w:lang w:eastAsia="zh-CN"/>
              </w:rPr>
              <w:t>《危险废物贮存污染控制标准》（GB18597-2023）</w:t>
            </w:r>
            <w:r>
              <w:rPr>
                <w:rFonts w:hint="default"/>
                <w:color w:val="000000"/>
                <w:highlight w:val="none"/>
              </w:rPr>
              <w:t>和《建设项目危险废物环境影响评价指南》的要求设计，已做好防雨、防渗，防止二次污染。地面采用坚固、防渗、耐腐蚀的材料建造，并设计有堵截泄漏的裙脚、围堰等设施</w:t>
            </w:r>
            <w:r>
              <w:rPr>
                <w:rFonts w:ascii="Times New Roman" w:eastAsia="宋体"/>
                <w:snapToGrid w:val="0"/>
                <w:color w:val="000000"/>
                <w:spacing w:val="0"/>
                <w:sz w:val="24"/>
                <w:szCs w:val="24"/>
                <w:highlight w:val="none"/>
              </w:rPr>
              <w:t>。</w:t>
            </w:r>
            <w:r>
              <w:rPr>
                <w:rFonts w:ascii="Times New Roman" w:eastAsia="宋体"/>
                <w:color w:val="000000"/>
                <w:spacing w:val="0"/>
                <w:sz w:val="24"/>
                <w:szCs w:val="24"/>
                <w:highlight w:val="none"/>
              </w:rPr>
              <w:t>危险废</w:t>
            </w:r>
            <w:r>
              <w:rPr>
                <w:rFonts w:hint="eastAsia" w:ascii="Times New Roman" w:eastAsia="宋体"/>
                <w:color w:val="000000"/>
                <w:spacing w:val="0"/>
                <w:sz w:val="24"/>
                <w:szCs w:val="24"/>
                <w:highlight w:val="none"/>
              </w:rPr>
              <w:t>物</w:t>
            </w:r>
            <w:r>
              <w:rPr>
                <w:rFonts w:ascii="Times New Roman" w:eastAsia="宋体"/>
                <w:color w:val="000000"/>
                <w:spacing w:val="0"/>
                <w:sz w:val="24"/>
                <w:szCs w:val="24"/>
                <w:highlight w:val="none"/>
              </w:rPr>
              <w:t>符合《危险废物贮存污染控制标准》（GB18597-20</w:t>
            </w:r>
            <w:r>
              <w:rPr>
                <w:rFonts w:hint="eastAsia" w:ascii="Times New Roman" w:eastAsia="宋体"/>
                <w:color w:val="000000"/>
                <w:spacing w:val="0"/>
                <w:sz w:val="24"/>
                <w:szCs w:val="24"/>
                <w:highlight w:val="none"/>
                <w:lang w:val="en-US" w:eastAsia="zh-CN"/>
              </w:rPr>
              <w:t>23</w:t>
            </w:r>
            <w:r>
              <w:rPr>
                <w:rFonts w:ascii="Times New Roman" w:eastAsia="宋体"/>
                <w:color w:val="000000"/>
                <w:spacing w:val="0"/>
                <w:sz w:val="24"/>
                <w:szCs w:val="24"/>
                <w:highlight w:val="none"/>
              </w:rPr>
              <w:t>）</w:t>
            </w:r>
            <w:r>
              <w:rPr>
                <w:rFonts w:hint="eastAsia" w:ascii="Times New Roman" w:eastAsia="宋体"/>
                <w:color w:val="000000"/>
                <w:spacing w:val="0"/>
                <w:sz w:val="24"/>
                <w:szCs w:val="24"/>
                <w:highlight w:val="none"/>
              </w:rPr>
              <w:t>要求</w:t>
            </w:r>
            <w:r>
              <w:rPr>
                <w:rFonts w:ascii="Times New Roman" w:eastAsia="宋体"/>
                <w:color w:val="000000"/>
                <w:spacing w:val="0"/>
                <w:sz w:val="24"/>
                <w:szCs w:val="24"/>
                <w:highlight w:val="none"/>
              </w:rPr>
              <w:t>。</w:t>
            </w:r>
            <w:r>
              <w:rPr>
                <w:rFonts w:hint="eastAsia"/>
                <w:color w:val="000000"/>
                <w:highlight w:val="none"/>
                <w:lang w:val="en-US" w:eastAsia="zh-CN"/>
              </w:rPr>
              <w:t>因此，</w:t>
            </w:r>
            <w:r>
              <w:rPr>
                <w:rFonts w:hint="default"/>
                <w:color w:val="000000"/>
                <w:highlight w:val="none"/>
              </w:rPr>
              <w:t>本项目依托现有危废暂存间可行</w:t>
            </w:r>
            <w:r>
              <w:rPr>
                <w:rFonts w:hint="default"/>
                <w:color w:val="000000"/>
                <w:sz w:val="24"/>
                <w:szCs w:val="24"/>
                <w:highlight w:val="none"/>
              </w:rPr>
              <w:t>。</w:t>
            </w:r>
          </w:p>
          <w:p>
            <w:pPr>
              <w:bidi w:val="0"/>
              <w:rPr>
                <w:rFonts w:hint="eastAsia"/>
                <w:color w:val="000000"/>
                <w:highlight w:val="none"/>
                <w:lang w:val="en-US" w:eastAsia="zh-CN"/>
              </w:rPr>
            </w:pPr>
            <w:r>
              <w:rPr>
                <w:rFonts w:hint="eastAsia"/>
                <w:color w:val="000000"/>
                <w:highlight w:val="none"/>
                <w:lang w:val="en-US" w:eastAsia="zh-CN"/>
              </w:rPr>
              <w:t>本项目建成后危险废物贮存需满足如下要求：</w:t>
            </w:r>
          </w:p>
          <w:p>
            <w:pPr>
              <w:bidi w:val="0"/>
              <w:rPr>
                <w:rFonts w:hint="eastAsia" w:eastAsia="宋体"/>
                <w:b/>
                <w:bCs/>
                <w:color w:val="000000"/>
                <w:sz w:val="24"/>
                <w:szCs w:val="24"/>
                <w:highlight w:val="none"/>
                <w:lang w:eastAsia="zh-CN"/>
              </w:rPr>
            </w:pPr>
            <w:r>
              <w:rPr>
                <w:rFonts w:hint="default"/>
                <w:color w:val="000000"/>
                <w:highlight w:val="none"/>
                <w:lang w:val="en-US" w:eastAsia="zh-CN"/>
              </w:rPr>
              <w:t>①</w:t>
            </w:r>
            <w:r>
              <w:rPr>
                <w:rFonts w:hint="default"/>
                <w:color w:val="000000"/>
                <w:sz w:val="24"/>
                <w:szCs w:val="24"/>
                <w:highlight w:val="none"/>
              </w:rPr>
              <w:t>禁止将不相容（相互反应）的危险废物在同一容器内混装，不同种类的危险废物在</w:t>
            </w:r>
            <w:r>
              <w:rPr>
                <w:rFonts w:hint="eastAsia"/>
                <w:color w:val="000000"/>
                <w:sz w:val="24"/>
                <w:szCs w:val="24"/>
                <w:highlight w:val="none"/>
              </w:rPr>
              <w:t>危险废物暂存间</w:t>
            </w:r>
            <w:r>
              <w:rPr>
                <w:rFonts w:hint="default"/>
                <w:color w:val="000000"/>
                <w:sz w:val="24"/>
                <w:szCs w:val="24"/>
                <w:highlight w:val="none"/>
              </w:rPr>
              <w:t>内分区存放</w:t>
            </w:r>
            <w:r>
              <w:rPr>
                <w:rFonts w:hint="eastAsia"/>
                <w:color w:val="000000"/>
                <w:sz w:val="24"/>
                <w:szCs w:val="24"/>
                <w:highlight w:val="none"/>
                <w:lang w:eastAsia="zh-CN"/>
              </w:rPr>
              <w:t>。</w:t>
            </w:r>
          </w:p>
          <w:p>
            <w:pPr>
              <w:bidi w:val="0"/>
              <w:rPr>
                <w:rFonts w:hint="default"/>
                <w:color w:val="000000"/>
                <w:sz w:val="24"/>
                <w:szCs w:val="24"/>
                <w:highlight w:val="none"/>
              </w:rPr>
            </w:pPr>
            <w:r>
              <w:rPr>
                <w:rFonts w:hint="default"/>
                <w:color w:val="000000"/>
                <w:sz w:val="24"/>
                <w:szCs w:val="24"/>
                <w:highlight w:val="none"/>
                <w:lang w:val="en-US" w:eastAsia="zh-CN"/>
              </w:rPr>
              <w:t>②</w:t>
            </w:r>
            <w:r>
              <w:rPr>
                <w:rFonts w:hint="default"/>
                <w:color w:val="000000"/>
                <w:sz w:val="24"/>
                <w:szCs w:val="24"/>
                <w:highlight w:val="none"/>
              </w:rPr>
              <w:t>盛装危废的容器要符合标准要求，容器应根据危险废物的不同特性而设计，容器应不易破损、变形、老化，并能有效地防止渗透、扩散。装有危险废物的容器必须贴有符合</w:t>
            </w:r>
            <w:r>
              <w:rPr>
                <w:rFonts w:hint="eastAsia"/>
                <w:color w:val="auto"/>
                <w:highlight w:val="none"/>
                <w:lang w:eastAsia="zh-CN"/>
              </w:rPr>
              <w:t>《危险废物贮存污染控制标准》（GB18597-2023）、《</w:t>
            </w:r>
            <w:r>
              <w:rPr>
                <w:rFonts w:hint="eastAsia"/>
                <w:color w:val="auto"/>
                <w:highlight w:val="none"/>
                <w:lang w:val="en-US" w:eastAsia="zh-CN"/>
              </w:rPr>
              <w:t>危险废物识别标志设置技术规范</w:t>
            </w:r>
            <w:r>
              <w:rPr>
                <w:rFonts w:hint="eastAsia"/>
                <w:color w:val="auto"/>
                <w:highlight w:val="none"/>
                <w:lang w:eastAsia="zh-CN"/>
              </w:rPr>
              <w:t>》（</w:t>
            </w:r>
            <w:r>
              <w:rPr>
                <w:rFonts w:hint="eastAsia"/>
                <w:color w:val="auto"/>
                <w:highlight w:val="none"/>
                <w:lang w:val="en-US" w:eastAsia="zh-CN"/>
              </w:rPr>
              <w:t>HJ 1276</w:t>
            </w:r>
            <w:r>
              <w:rPr>
                <w:rFonts w:hint="eastAsia"/>
                <w:color w:val="auto"/>
                <w:highlight w:val="none"/>
                <w:lang w:eastAsia="zh-CN"/>
              </w:rPr>
              <w:t>-</w:t>
            </w:r>
            <w:r>
              <w:rPr>
                <w:rFonts w:hint="eastAsia"/>
                <w:color w:val="auto"/>
                <w:highlight w:val="none"/>
                <w:lang w:val="en-US" w:eastAsia="zh-CN"/>
              </w:rPr>
              <w:t>2022</w:t>
            </w:r>
            <w:r>
              <w:rPr>
                <w:rFonts w:hint="eastAsia"/>
                <w:color w:val="auto"/>
                <w:highlight w:val="none"/>
                <w:lang w:eastAsia="zh-CN"/>
              </w:rPr>
              <w:t>）</w:t>
            </w:r>
            <w:r>
              <w:rPr>
                <w:rFonts w:hint="eastAsia"/>
                <w:color w:val="auto"/>
                <w:highlight w:val="none"/>
                <w:lang w:val="en-US" w:eastAsia="zh-CN"/>
              </w:rPr>
              <w:t>标准</w:t>
            </w:r>
            <w:r>
              <w:rPr>
                <w:rFonts w:hint="default"/>
                <w:color w:val="000000"/>
                <w:sz w:val="24"/>
                <w:szCs w:val="24"/>
                <w:highlight w:val="none"/>
              </w:rPr>
              <w:t>中所示的标签。</w:t>
            </w:r>
          </w:p>
          <w:p>
            <w:pPr>
              <w:bidi w:val="0"/>
              <w:rPr>
                <w:rFonts w:hint="default"/>
                <w:color w:val="000000"/>
                <w:sz w:val="24"/>
                <w:szCs w:val="24"/>
                <w:highlight w:val="none"/>
              </w:rPr>
            </w:pPr>
            <w:r>
              <w:rPr>
                <w:rFonts w:hint="default"/>
                <w:color w:val="000000"/>
                <w:sz w:val="24"/>
                <w:szCs w:val="24"/>
                <w:highlight w:val="none"/>
                <w:lang w:val="en-US" w:eastAsia="zh-CN"/>
              </w:rPr>
              <w:t>③</w:t>
            </w:r>
            <w:r>
              <w:rPr>
                <w:rFonts w:hint="default"/>
                <w:color w:val="000000"/>
                <w:sz w:val="24"/>
                <w:szCs w:val="24"/>
                <w:highlight w:val="none"/>
              </w:rPr>
              <w:t>装载液体、半固体危险废物的容器内须留</w:t>
            </w:r>
            <w:r>
              <w:rPr>
                <w:rFonts w:hint="eastAsia"/>
                <w:color w:val="000000"/>
                <w:sz w:val="24"/>
                <w:szCs w:val="24"/>
                <w:highlight w:val="none"/>
                <w:lang w:val="en-US" w:eastAsia="zh-CN"/>
              </w:rPr>
              <w:t>有</w:t>
            </w:r>
            <w:r>
              <w:rPr>
                <w:rFonts w:hint="default"/>
                <w:color w:val="000000"/>
                <w:sz w:val="24"/>
                <w:szCs w:val="24"/>
                <w:highlight w:val="none"/>
              </w:rPr>
              <w:t>足够空间，容器顶部与液体表面之间保留100mm以上的空间。</w:t>
            </w:r>
          </w:p>
          <w:p>
            <w:pPr>
              <w:bidi w:val="0"/>
              <w:rPr>
                <w:rFonts w:hint="default"/>
                <w:color w:val="000000"/>
                <w:sz w:val="24"/>
                <w:szCs w:val="24"/>
                <w:highlight w:val="none"/>
              </w:rPr>
            </w:pPr>
            <w:r>
              <w:rPr>
                <w:rFonts w:hint="default"/>
                <w:color w:val="000000"/>
                <w:sz w:val="24"/>
                <w:szCs w:val="24"/>
                <w:highlight w:val="none"/>
                <w:lang w:val="en-US" w:eastAsia="zh-CN"/>
              </w:rPr>
              <w:t>④</w:t>
            </w:r>
            <w:r>
              <w:rPr>
                <w:rFonts w:hint="default"/>
                <w:color w:val="000000"/>
                <w:sz w:val="24"/>
                <w:szCs w:val="24"/>
                <w:highlight w:val="none"/>
              </w:rPr>
              <w:t>盛装危险废物的容器要带盖。</w:t>
            </w:r>
          </w:p>
          <w:p>
            <w:pPr>
              <w:bidi w:val="0"/>
              <w:rPr>
                <w:rFonts w:hint="eastAsia"/>
                <w:color w:val="000000"/>
                <w:highlight w:val="none"/>
                <w:lang w:val="en-US" w:eastAsia="zh-CN"/>
              </w:rPr>
            </w:pPr>
            <w:r>
              <w:rPr>
                <w:rFonts w:hint="default"/>
                <w:color w:val="000000"/>
                <w:highlight w:val="none"/>
              </w:rPr>
              <w:t>⑤建立档案制度，对暂存的废物种类、数量、特性、包装容器类别、存放</w:t>
            </w:r>
            <w:r>
              <w:rPr>
                <w:rFonts w:hint="eastAsia"/>
                <w:color w:val="000000"/>
                <w:highlight w:val="none"/>
                <w:lang w:val="en-US" w:eastAsia="zh-CN"/>
              </w:rPr>
              <w:t>部</w:t>
            </w:r>
            <w:r>
              <w:rPr>
                <w:rFonts w:hint="default"/>
                <w:color w:val="000000"/>
                <w:highlight w:val="none"/>
              </w:rPr>
              <w:t>位、存入日期、运出日期等详细记录在案并长期保存。建立定期巡查、维护制度</w:t>
            </w:r>
            <w:r>
              <w:rPr>
                <w:rFonts w:hint="eastAsia"/>
                <w:color w:val="000000"/>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w:t>
            </w:r>
            <w:r>
              <w:rPr>
                <w:rFonts w:hint="eastAsia"/>
                <w:color w:val="auto"/>
                <w:sz w:val="24"/>
                <w:szCs w:val="24"/>
                <w:highlight w:val="none"/>
                <w:lang w:val="en-US" w:eastAsia="zh-CN"/>
              </w:rPr>
              <w:t>建成后</w:t>
            </w:r>
            <w:r>
              <w:rPr>
                <w:rFonts w:hint="default"/>
                <w:color w:val="auto"/>
                <w:sz w:val="24"/>
                <w:szCs w:val="24"/>
                <w:highlight w:val="none"/>
              </w:rPr>
              <w:t>危险废物贮存场所基本情况见下表。</w:t>
            </w:r>
          </w:p>
          <w:p>
            <w:pPr>
              <w:pStyle w:val="31"/>
              <w:bidi w:val="0"/>
              <w:rPr>
                <w:rFonts w:hint="eastAsia" w:eastAsia="宋体"/>
                <w:color w:val="auto"/>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42</w:t>
            </w:r>
            <w:r>
              <w:rPr>
                <w:rFonts w:hint="default"/>
                <w:color w:val="auto"/>
                <w:sz w:val="21"/>
                <w:szCs w:val="21"/>
                <w:highlight w:val="none"/>
              </w:rPr>
              <w:t xml:space="preserve">  危险废物贮存场所基本情况表</w:t>
            </w:r>
            <w:r>
              <w:rPr>
                <w:rFonts w:hint="eastAsia"/>
                <w:color w:val="auto"/>
                <w:sz w:val="21"/>
                <w:szCs w:val="21"/>
                <w:highlight w:val="none"/>
                <w:lang w:val="en-US" w:eastAsia="zh-CN"/>
              </w:rPr>
              <w:t>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41"/>
              <w:gridCol w:w="685"/>
              <w:gridCol w:w="1896"/>
              <w:gridCol w:w="751"/>
              <w:gridCol w:w="1141"/>
              <w:gridCol w:w="667"/>
              <w:gridCol w:w="629"/>
              <w:gridCol w:w="1296"/>
              <w:gridCol w:w="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4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序号</w:t>
                  </w:r>
                </w:p>
              </w:tc>
              <w:tc>
                <w:tcPr>
                  <w:tcW w:w="69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贮存场所名称</w:t>
                  </w:r>
                </w:p>
              </w:tc>
              <w:tc>
                <w:tcPr>
                  <w:tcW w:w="1922"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危险废物名称</w:t>
                  </w:r>
                </w:p>
              </w:tc>
              <w:tc>
                <w:tcPr>
                  <w:tcW w:w="761"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危险废物类别</w:t>
                  </w:r>
                </w:p>
              </w:tc>
              <w:tc>
                <w:tcPr>
                  <w:tcW w:w="1157"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危险废物代码</w:t>
                  </w:r>
                </w:p>
              </w:tc>
              <w:tc>
                <w:tcPr>
                  <w:tcW w:w="676"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位置</w:t>
                  </w:r>
                </w:p>
              </w:tc>
              <w:tc>
                <w:tcPr>
                  <w:tcW w:w="63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占地面积</w:t>
                  </w: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贮存方式</w:t>
                  </w:r>
                </w:p>
              </w:tc>
              <w:tc>
                <w:tcPr>
                  <w:tcW w:w="68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w:t>
                  </w:r>
                </w:p>
                <w:p>
                  <w:pPr>
                    <w:pStyle w:val="3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废润滑油</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900-217-08</w:t>
                  </w:r>
                </w:p>
              </w:tc>
              <w:tc>
                <w:tcPr>
                  <w:tcW w:w="676"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生产车间生产区西北侧</w:t>
                  </w:r>
                </w:p>
              </w:tc>
              <w:tc>
                <w:tcPr>
                  <w:tcW w:w="638" w:type="dxa"/>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15m</w:t>
                  </w:r>
                  <w:r>
                    <w:rPr>
                      <w:rFonts w:hint="eastAsia"/>
                      <w:color w:val="auto"/>
                      <w:sz w:val="21"/>
                      <w:szCs w:val="21"/>
                      <w:highlight w:val="none"/>
                      <w:vertAlign w:val="superscript"/>
                      <w:lang w:val="en-US" w:eastAsia="zh-CN"/>
                    </w:rPr>
                    <w:t>2</w:t>
                  </w: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shd w:val="clear" w:color="auto" w:fill="auto"/>
                      <w:lang w:val="en-US" w:eastAsia="zh-CN"/>
                    </w:rPr>
                    <w:t>桶装，</w:t>
                  </w:r>
                  <w:r>
                    <w:rPr>
                      <w:rFonts w:hint="eastAsia" w:ascii="Times New Roman" w:hAnsi="Times New Roman" w:eastAsia="宋体" w:cs="Times New Roman"/>
                      <w:color w:val="auto"/>
                      <w:sz w:val="21"/>
                      <w:szCs w:val="21"/>
                      <w:highlight w:val="none"/>
                      <w:shd w:val="clear" w:color="auto" w:fill="auto"/>
                      <w:lang w:val="en-US" w:eastAsia="zh-CN"/>
                    </w:rPr>
                    <w:t>加盖</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ascii="Times New Roman" w:hAnsi="Times New Roman" w:cs="Times New Roman"/>
                      <w:color w:val="auto"/>
                      <w:sz w:val="21"/>
                      <w:szCs w:val="21"/>
                      <w:highlight w:val="none"/>
                      <w:shd w:val="clear" w:color="auto" w:fill="auto"/>
                      <w:lang w:val="en-US" w:eastAsia="zh-CN"/>
                    </w:rPr>
                    <w:t>润滑</w:t>
                  </w:r>
                  <w:r>
                    <w:rPr>
                      <w:rFonts w:hint="eastAsia" w:ascii="Times New Roman" w:hAnsi="Times New Roman" w:eastAsia="宋体" w:cs="Times New Roman"/>
                      <w:color w:val="auto"/>
                      <w:sz w:val="21"/>
                      <w:szCs w:val="21"/>
                      <w:highlight w:val="none"/>
                      <w:shd w:val="clear" w:color="auto" w:fill="auto"/>
                      <w:lang w:val="en-US" w:eastAsia="zh-CN"/>
                    </w:rPr>
                    <w:t>油桶</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900-249-08</w:t>
                  </w:r>
                </w:p>
              </w:tc>
              <w:tc>
                <w:tcPr>
                  <w:tcW w:w="67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638"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加盖</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废包装桶（导电浆料配制原料包装桶）</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HW49</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67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638"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加盖</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喷淋废水</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HW34</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900-249-34</w:t>
                  </w:r>
                </w:p>
              </w:tc>
              <w:tc>
                <w:tcPr>
                  <w:tcW w:w="67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638"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s="Times New Roman"/>
                      <w:color w:val="auto"/>
                      <w:sz w:val="21"/>
                      <w:szCs w:val="21"/>
                      <w:highlight w:val="none"/>
                      <w:shd w:val="clear" w:color="auto" w:fill="auto"/>
                      <w:lang w:val="en-US" w:eastAsia="zh-CN"/>
                    </w:rPr>
                    <w:t>耐腐蚀防渗漏的容器储存</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镀膜液包装桶</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HW49</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67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638"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kern w:val="2"/>
                      <w:sz w:val="21"/>
                      <w:szCs w:val="21"/>
                      <w:highlight w:val="none"/>
                      <w:lang w:val="en-US" w:eastAsia="zh-CN" w:bidi="ar-SA"/>
                    </w:rPr>
                    <w:t>加盖</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548" w:type="dxa"/>
                  <w:tcBorders>
                    <w:tl2br w:val="nil"/>
                    <w:tr2bl w:val="nil"/>
                  </w:tcBorders>
                  <w:noWrap w:val="0"/>
                  <w:vAlign w:val="center"/>
                </w:tcPr>
                <w:p>
                  <w:pPr>
                    <w:pStyle w:val="32"/>
                    <w:keepNext w:val="0"/>
                    <w:keepLines w:val="0"/>
                    <w:pageBreakBefore w:val="0"/>
                    <w:widowControl w:val="0"/>
                    <w:numPr>
                      <w:ilvl w:val="0"/>
                      <w:numId w:val="33"/>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694"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92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电极银浆包装罐</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HW49</w:t>
                  </w:r>
                </w:p>
              </w:tc>
              <w:tc>
                <w:tcPr>
                  <w:tcW w:w="11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900-041-49</w:t>
                  </w:r>
                </w:p>
              </w:tc>
              <w:tc>
                <w:tcPr>
                  <w:tcW w:w="676"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638" w:type="dxa"/>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314"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kern w:val="2"/>
                      <w:sz w:val="21"/>
                      <w:szCs w:val="21"/>
                      <w:highlight w:val="none"/>
                      <w:lang w:val="en-US" w:eastAsia="zh-CN" w:bidi="ar-SA"/>
                    </w:rPr>
                    <w:t>加盖</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bl>
          <w:p>
            <w:pPr>
              <w:bidi w:val="0"/>
              <w:rPr>
                <w:rFonts w:hint="default"/>
                <w:color w:val="auto"/>
                <w:highlight w:val="none"/>
              </w:rPr>
            </w:pPr>
            <w:r>
              <w:rPr>
                <w:rFonts w:hint="eastAsia"/>
                <w:color w:val="auto"/>
                <w:highlight w:val="none"/>
                <w:lang w:val="en-US" w:eastAsia="zh-CN"/>
              </w:rPr>
              <w:t>4.2.2.3</w:t>
            </w:r>
            <w:r>
              <w:rPr>
                <w:rFonts w:hint="default"/>
                <w:color w:val="auto"/>
                <w:highlight w:val="none"/>
              </w:rPr>
              <w:t xml:space="preserve">危险废物运输 </w:t>
            </w:r>
          </w:p>
          <w:p>
            <w:pPr>
              <w:bidi w:val="0"/>
              <w:rPr>
                <w:rFonts w:hint="default"/>
                <w:color w:val="auto"/>
                <w:highlight w:val="none"/>
              </w:rPr>
            </w:pPr>
            <w:r>
              <w:rPr>
                <w:rFonts w:hint="default"/>
                <w:color w:val="auto"/>
                <w:highlight w:val="none"/>
              </w:rPr>
              <w:t xml:space="preserve">本项目产生的危险废物按照《危险废物收集、贮存、运输技术规范》 （HJ2025-2012）相关要求进行运输，并按要求填写危险废物的收集记录、厂内转运记录表，并将记录表作为危险废物管理的重要档案妥善保存。 </w:t>
            </w:r>
          </w:p>
          <w:p>
            <w:pPr>
              <w:bidi w:val="0"/>
              <w:rPr>
                <w:rFonts w:hint="default"/>
                <w:color w:val="auto"/>
                <w:highlight w:val="none"/>
              </w:rPr>
            </w:pPr>
            <w:r>
              <w:rPr>
                <w:rFonts w:hint="default"/>
                <w:color w:val="auto"/>
                <w:highlight w:val="none"/>
              </w:rPr>
              <w:t xml:space="preserve">a、运输承运危险废物时，应按照相关标准要求在危险废物包装上设置标志。 </w:t>
            </w:r>
          </w:p>
          <w:p>
            <w:pPr>
              <w:bidi w:val="0"/>
              <w:rPr>
                <w:rFonts w:hint="default"/>
                <w:color w:val="auto"/>
                <w:highlight w:val="none"/>
              </w:rPr>
            </w:pPr>
            <w:r>
              <w:rPr>
                <w:rFonts w:hint="default"/>
                <w:color w:val="auto"/>
                <w:highlight w:val="none"/>
              </w:rPr>
              <w:t xml:space="preserve">b、所有运输车辆按规定的路线运输。 </w:t>
            </w:r>
          </w:p>
          <w:p>
            <w:pPr>
              <w:bidi w:val="0"/>
              <w:rPr>
                <w:rFonts w:hint="default"/>
                <w:color w:val="auto"/>
                <w:highlight w:val="none"/>
              </w:rPr>
            </w:pPr>
            <w:r>
              <w:rPr>
                <w:rFonts w:hint="default"/>
                <w:color w:val="auto"/>
                <w:highlight w:val="none"/>
              </w:rPr>
              <w:t xml:space="preserve">c、运输过程中危险废物应放置在密闭容器中，且运输设施应为封闭结构，具有防臭防遗撒功能，安装行驶及装卸记录仪。 </w:t>
            </w:r>
          </w:p>
          <w:p>
            <w:pPr>
              <w:bidi w:val="0"/>
              <w:rPr>
                <w:rFonts w:hint="default"/>
                <w:color w:val="auto"/>
                <w:highlight w:val="none"/>
              </w:rPr>
            </w:pPr>
            <w:r>
              <w:rPr>
                <w:rFonts w:hint="default"/>
                <w:color w:val="auto"/>
                <w:highlight w:val="none"/>
              </w:rPr>
              <w:t xml:space="preserve">d、危险废物内部转运作业应采用专用的工具，危险废物内部转运应按照标准要求填写《危险废物厂内转运记录表》。 </w:t>
            </w:r>
          </w:p>
          <w:p>
            <w:pPr>
              <w:bidi w:val="0"/>
              <w:rPr>
                <w:rFonts w:hint="default"/>
                <w:color w:val="auto"/>
                <w:highlight w:val="none"/>
              </w:rPr>
            </w:pPr>
            <w:r>
              <w:rPr>
                <w:rFonts w:hint="default"/>
                <w:color w:val="auto"/>
                <w:highlight w:val="none"/>
              </w:rPr>
              <w:t>e、危险废物内部转运结束后，应对转运路线进行检查和清理，</w:t>
            </w:r>
            <w:r>
              <w:rPr>
                <w:rFonts w:hint="eastAsia"/>
                <w:color w:val="auto"/>
                <w:highlight w:val="none"/>
                <w:lang w:val="en-US" w:eastAsia="zh-CN"/>
              </w:rPr>
              <w:t>确保</w:t>
            </w:r>
            <w:r>
              <w:rPr>
                <w:rFonts w:hint="default"/>
                <w:color w:val="auto"/>
                <w:highlight w:val="none"/>
              </w:rPr>
              <w:t>无危险废物遗失在转运路线上。</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 xml:space="preserve">危险废物处置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w:t>
            </w:r>
            <w:r>
              <w:rPr>
                <w:rFonts w:hint="eastAsia"/>
                <w:color w:val="auto"/>
                <w:sz w:val="24"/>
                <w:szCs w:val="24"/>
                <w:highlight w:val="none"/>
                <w:lang w:val="en-US" w:eastAsia="zh-CN"/>
              </w:rPr>
              <w:t>产生的危险废物均</w:t>
            </w:r>
            <w:r>
              <w:rPr>
                <w:rFonts w:hint="default"/>
                <w:color w:val="auto"/>
                <w:sz w:val="24"/>
                <w:szCs w:val="24"/>
                <w:highlight w:val="none"/>
              </w:rPr>
              <w:t>委托有资质的危险废物处置单位进行处理。</w:t>
            </w:r>
          </w:p>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w:t>
            </w:r>
            <w:r>
              <w:rPr>
                <w:rFonts w:hint="eastAsia" w:cs="Times New Roman"/>
                <w:b/>
                <w:bCs/>
                <w:color w:val="auto"/>
                <w:sz w:val="24"/>
                <w:szCs w:val="21"/>
                <w:highlight w:val="none"/>
                <w:shd w:val="clear" w:color="auto" w:fill="auto"/>
                <w:lang w:val="en-US" w:eastAsia="zh-CN"/>
              </w:rPr>
              <w:t>3</w:t>
            </w:r>
            <w:r>
              <w:rPr>
                <w:rFonts w:hint="eastAsia" w:ascii="Times New Roman" w:hAnsi="Times New Roman" w:eastAsia="宋体" w:cs="Times New Roman"/>
                <w:b/>
                <w:bCs/>
                <w:color w:val="auto"/>
                <w:sz w:val="24"/>
                <w:szCs w:val="21"/>
                <w:highlight w:val="none"/>
                <w:shd w:val="clear" w:color="auto" w:fill="auto"/>
                <w:lang w:val="en-US" w:eastAsia="zh-CN"/>
              </w:rPr>
              <w:t>固体废物影响评价结论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eastAsia"/>
                <w:color w:val="auto"/>
                <w:highlight w:val="none"/>
                <w:lang w:val="en-US" w:eastAsia="zh-CN"/>
              </w:rPr>
              <w:t>采取本项目提出的固体废物处置措施，各固体废物均得到合理处理处置，不会对环境造成二次污染。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5、地下水、土壤</w:t>
            </w:r>
          </w:p>
          <w:p>
            <w:pPr>
              <w:bidi w:val="0"/>
              <w:rPr>
                <w:rFonts w:hint="eastAsia"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本项目生产过程产生的废气</w:t>
            </w:r>
            <w:r>
              <w:rPr>
                <w:rFonts w:hint="eastAsia" w:ascii="Times New Roman" w:hAnsi="Times New Roman" w:eastAsia="宋体" w:cs="Times New Roman"/>
                <w:color w:val="auto"/>
                <w:sz w:val="24"/>
                <w:szCs w:val="21"/>
                <w:highlight w:val="none"/>
                <w:shd w:val="clear" w:color="auto" w:fill="auto"/>
                <w:lang w:val="en-US" w:eastAsia="zh-CN"/>
              </w:rPr>
              <w:t>主要</w:t>
            </w:r>
            <w:r>
              <w:rPr>
                <w:rFonts w:hint="eastAsia" w:ascii="Times New Roman" w:hAnsi="Times New Roman" w:eastAsia="宋体" w:cs="Times New Roman"/>
                <w:color w:val="auto"/>
                <w:sz w:val="24"/>
                <w:szCs w:val="21"/>
                <w:highlight w:val="none"/>
                <w:shd w:val="clear" w:color="auto" w:fill="auto"/>
                <w:lang w:eastAsia="zh-CN"/>
              </w:rPr>
              <w:t>为</w:t>
            </w:r>
            <w:r>
              <w:rPr>
                <w:rFonts w:hint="eastAsia" w:cs="Times New Roman"/>
                <w:color w:val="auto"/>
                <w:sz w:val="24"/>
                <w:szCs w:val="21"/>
                <w:highlight w:val="none"/>
                <w:shd w:val="clear" w:color="auto" w:fill="auto"/>
                <w:lang w:val="en-US" w:eastAsia="zh-CN"/>
              </w:rPr>
              <w:t>非甲烷总烃、氯化氢，</w:t>
            </w:r>
            <w:r>
              <w:rPr>
                <w:rFonts w:hint="eastAsia" w:ascii="Times New Roman" w:hAnsi="Times New Roman" w:eastAsia="宋体" w:cs="Times New Roman"/>
                <w:color w:val="auto"/>
                <w:sz w:val="24"/>
                <w:szCs w:val="21"/>
                <w:highlight w:val="none"/>
                <w:shd w:val="clear" w:color="auto" w:fill="auto"/>
                <w:lang w:eastAsia="zh-CN"/>
              </w:rPr>
              <w:t>排放量较少，</w:t>
            </w:r>
            <w:r>
              <w:rPr>
                <w:rFonts w:hint="eastAsia" w:cs="Times New Roman"/>
                <w:color w:val="auto"/>
                <w:sz w:val="24"/>
                <w:szCs w:val="21"/>
                <w:highlight w:val="none"/>
                <w:shd w:val="clear" w:color="auto" w:fill="auto"/>
                <w:lang w:val="en-US" w:eastAsia="zh-CN"/>
              </w:rPr>
              <w:t>厂区已按照“非硬即绿”的要求进行建设，</w:t>
            </w:r>
            <w:r>
              <w:rPr>
                <w:rFonts w:hint="eastAsia" w:ascii="Times New Roman" w:hAnsi="Times New Roman" w:eastAsia="宋体" w:cs="Times New Roman"/>
                <w:color w:val="auto"/>
                <w:sz w:val="24"/>
                <w:szCs w:val="21"/>
                <w:highlight w:val="none"/>
                <w:shd w:val="clear" w:color="auto" w:fill="auto"/>
                <w:lang w:eastAsia="zh-CN"/>
              </w:rPr>
              <w:t>因此</w:t>
            </w:r>
            <w:r>
              <w:rPr>
                <w:rFonts w:hint="eastAsia" w:cs="Times New Roman"/>
                <w:color w:val="auto"/>
                <w:sz w:val="24"/>
                <w:szCs w:val="21"/>
                <w:highlight w:val="none"/>
                <w:shd w:val="clear" w:color="auto" w:fill="auto"/>
                <w:lang w:eastAsia="zh-CN"/>
              </w:rPr>
              <w:t>，</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通过大气沉降</w:t>
            </w:r>
            <w:r>
              <w:rPr>
                <w:rFonts w:hint="eastAsia" w:ascii="Times New Roman" w:hAnsi="Times New Roman" w:eastAsia="宋体" w:cs="Times New Roman"/>
                <w:color w:val="auto"/>
                <w:sz w:val="24"/>
                <w:szCs w:val="21"/>
                <w:highlight w:val="none"/>
                <w:shd w:val="clear" w:color="auto" w:fill="auto"/>
                <w:lang w:eastAsia="zh-CN"/>
              </w:rPr>
              <w:t>对土壤环境及地下水环境产生明显不利影响。</w:t>
            </w:r>
          </w:p>
          <w:p>
            <w:pPr>
              <w:bidi w:val="0"/>
              <w:rPr>
                <w:rFonts w:hint="default"/>
                <w:color w:val="auto"/>
                <w:highlight w:val="none"/>
                <w:lang w:eastAsia="zh-CN"/>
              </w:rPr>
            </w:pPr>
            <w:r>
              <w:rPr>
                <w:rFonts w:hint="eastAsia"/>
                <w:color w:val="auto"/>
                <w:highlight w:val="none"/>
                <w:lang w:eastAsia="zh-CN"/>
              </w:rPr>
              <w:t>本项目</w:t>
            </w:r>
            <w:r>
              <w:rPr>
                <w:rFonts w:hint="eastAsia"/>
                <w:color w:val="auto"/>
                <w:highlight w:val="none"/>
                <w:lang w:val="en-US" w:eastAsia="zh-CN"/>
              </w:rPr>
              <w:t>无废水产生，因此，</w:t>
            </w:r>
            <w:r>
              <w:rPr>
                <w:rFonts w:hint="eastAsia"/>
                <w:color w:val="auto"/>
                <w:highlight w:val="none"/>
                <w:lang w:eastAsia="zh-CN"/>
              </w:rPr>
              <w:t>不会</w:t>
            </w:r>
            <w:r>
              <w:rPr>
                <w:rFonts w:hint="eastAsia"/>
                <w:color w:val="auto"/>
                <w:highlight w:val="none"/>
                <w:lang w:val="en-US" w:eastAsia="zh-CN"/>
              </w:rPr>
              <w:t>通过地表漫流</w:t>
            </w:r>
            <w:r>
              <w:rPr>
                <w:rFonts w:hint="eastAsia"/>
                <w:color w:val="auto"/>
                <w:highlight w:val="none"/>
                <w:lang w:eastAsia="zh-CN"/>
              </w:rPr>
              <w:t>对土壤及地下水环境产生明显不利影响。</w:t>
            </w:r>
          </w:p>
          <w:p>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储存的危险废物；危险品储存区储存的润滑油、导电浆料原料、电极银浆、镀膜液、氢氧化钠；使用油品的设备；碱液喷淋塔储存的碱液，</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pPr>
              <w:bidi w:val="0"/>
              <w:rPr>
                <w:rFonts w:hint="eastAsia"/>
                <w:color w:val="auto"/>
                <w:highlight w:val="none"/>
              </w:rPr>
            </w:pPr>
            <w:r>
              <w:rPr>
                <w:rFonts w:hint="eastAsia"/>
                <w:color w:val="auto"/>
                <w:highlight w:val="none"/>
                <w:lang w:val="en-US" w:eastAsia="zh-CN"/>
              </w:rPr>
              <w:t>危废间、危险品储存区、喷淋塔</w:t>
            </w:r>
            <w:r>
              <w:rPr>
                <w:rFonts w:hint="eastAsia"/>
                <w:color w:val="auto"/>
                <w:highlight w:val="none"/>
              </w:rPr>
              <w:t>为重点防渗区，</w:t>
            </w:r>
            <w:r>
              <w:rPr>
                <w:color w:val="auto"/>
                <w:highlight w:val="none"/>
              </w:rPr>
              <w:t>其他</w:t>
            </w:r>
            <w:r>
              <w:rPr>
                <w:rFonts w:hint="eastAsia"/>
                <w:color w:val="auto"/>
                <w:highlight w:val="none"/>
                <w:lang w:val="en-US" w:eastAsia="zh-CN"/>
              </w:rPr>
              <w:t>生产</w:t>
            </w:r>
            <w:r>
              <w:rPr>
                <w:color w:val="auto"/>
                <w:highlight w:val="none"/>
              </w:rPr>
              <w:t>区域</w:t>
            </w:r>
            <w:r>
              <w:rPr>
                <w:rFonts w:hint="eastAsia"/>
                <w:color w:val="auto"/>
                <w:highlight w:val="none"/>
              </w:rPr>
              <w:t>为一般防渗区</w:t>
            </w:r>
            <w:r>
              <w:rPr>
                <w:rFonts w:hint="eastAsia"/>
                <w:color w:val="auto"/>
                <w:highlight w:val="none"/>
                <w:lang w:eastAsia="zh-CN"/>
              </w:rPr>
              <w:t>，</w:t>
            </w:r>
            <w:r>
              <w:rPr>
                <w:rFonts w:hint="eastAsia"/>
                <w:color w:val="auto"/>
                <w:highlight w:val="none"/>
                <w:lang w:val="en-US" w:eastAsia="zh-CN"/>
              </w:rPr>
              <w:t>办公区、厂区地面为简单防渗区</w:t>
            </w:r>
            <w:r>
              <w:rPr>
                <w:rFonts w:hint="eastAsia"/>
                <w:color w:val="auto"/>
                <w:highlight w:val="none"/>
              </w:rPr>
              <w:t>。</w:t>
            </w:r>
          </w:p>
          <w:p>
            <w:pPr>
              <w:bidi w:val="0"/>
              <w:rPr>
                <w:rFonts w:hint="default"/>
                <w:color w:val="auto"/>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color w:val="auto"/>
                <w:highlight w:val="none"/>
                <w:lang w:val="en-US" w:eastAsia="zh-CN"/>
              </w:rPr>
              <w:t>，现有危废间、危险品储存区、碱液喷淋塔</w:t>
            </w:r>
            <w:r>
              <w:rPr>
                <w:rFonts w:hint="eastAsia"/>
                <w:color w:val="auto"/>
                <w:sz w:val="24"/>
                <w:szCs w:val="24"/>
                <w:highlight w:val="none"/>
                <w:lang w:val="en-US" w:eastAsia="zh-CN"/>
              </w:rPr>
              <w:t>，</w:t>
            </w:r>
            <w:r>
              <w:rPr>
                <w:rFonts w:hint="eastAsia"/>
                <w:color w:val="auto"/>
                <w:highlight w:val="none"/>
                <w:lang w:val="en-US" w:eastAsia="zh-CN"/>
              </w:rPr>
              <w:t>已按重点防渗区要求做好防渗，本项目新增润滑油、导电浆料原料均储存于现有危险品储存区，新增危废除活性炭外均储存于现有危废间。</w:t>
            </w:r>
          </w:p>
          <w:p>
            <w:pPr>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rPr>
              <w:t>生产车间</w:t>
            </w:r>
            <w:r>
              <w:rPr>
                <w:rFonts w:ascii="Times New Roman" w:hAnsi="Times New Roman" w:eastAsia="宋体"/>
                <w:color w:val="auto"/>
                <w:sz w:val="24"/>
                <w:szCs w:val="24"/>
                <w:highlight w:val="none"/>
              </w:rPr>
              <w:t>其他区域的建设进行基础防渗处理，需满足等效黏土防渗层Mb≥6.0m，K≤1×10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color w:val="auto"/>
                <w:sz w:val="24"/>
                <w:szCs w:val="24"/>
                <w:highlight w:val="none"/>
                <w:lang w:eastAsia="zh-CN"/>
              </w:rPr>
              <w:t>，</w:t>
            </w:r>
            <w:r>
              <w:rPr>
                <w:rFonts w:hint="eastAsia"/>
                <w:color w:val="auto"/>
                <w:sz w:val="24"/>
                <w:szCs w:val="24"/>
                <w:highlight w:val="none"/>
                <w:lang w:val="en-US" w:eastAsia="zh-CN"/>
              </w:rPr>
              <w:t>使用油品设备区下设防渗托盘，确保废油不落地</w:t>
            </w:r>
            <w:r>
              <w:rPr>
                <w:rFonts w:ascii="Times New Roman" w:hAnsi="Times New Roman" w:eastAsia="宋体"/>
                <w:color w:val="auto"/>
                <w:sz w:val="24"/>
                <w:szCs w:val="24"/>
                <w:highlight w:val="none"/>
              </w:rPr>
              <w:t>。</w:t>
            </w:r>
          </w:p>
          <w:p>
            <w:pPr>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③</w:t>
            </w:r>
            <w:r>
              <w:rPr>
                <w:rFonts w:hint="eastAsia"/>
                <w:color w:val="auto"/>
                <w:sz w:val="24"/>
                <w:szCs w:val="24"/>
                <w:highlight w:val="none"/>
                <w:lang w:val="en-US" w:eastAsia="zh-CN"/>
              </w:rPr>
              <w:t>简单防渗区：办公区地面硬化，厂区地面非硬即绿。</w:t>
            </w:r>
          </w:p>
          <w:p>
            <w:pPr>
              <w:rPr>
                <w:rFonts w:hint="eastAsia"/>
                <w:color w:val="auto"/>
                <w:highlight w:val="none"/>
              </w:rPr>
            </w:pPr>
            <w:r>
              <w:rPr>
                <w:rFonts w:hint="eastAsia"/>
                <w:color w:val="auto"/>
                <w:highlight w:val="none"/>
                <w:lang w:eastAsia="zh-CN"/>
              </w:rPr>
              <w:t>综上，</w:t>
            </w:r>
            <w:r>
              <w:rPr>
                <w:rFonts w:hint="eastAsia"/>
                <w:color w:val="auto"/>
                <w:highlight w:val="none"/>
              </w:rPr>
              <w:t>本项目</w:t>
            </w:r>
            <w:r>
              <w:rPr>
                <w:rFonts w:hint="eastAsia"/>
                <w:color w:val="auto"/>
                <w:highlight w:val="none"/>
                <w:lang w:eastAsia="zh-CN"/>
              </w:rPr>
              <w:t>采取上述防控措施后，</w:t>
            </w:r>
            <w:r>
              <w:rPr>
                <w:rFonts w:hint="eastAsia"/>
                <w:color w:val="auto"/>
                <w:highlight w:val="none"/>
              </w:rPr>
              <w:t>对区域</w:t>
            </w:r>
            <w:r>
              <w:rPr>
                <w:rFonts w:hint="eastAsia"/>
                <w:color w:val="auto"/>
                <w:highlight w:val="none"/>
                <w:lang w:eastAsia="zh-CN"/>
              </w:rPr>
              <w:t>地下水、土壤</w:t>
            </w:r>
            <w:r>
              <w:rPr>
                <w:rFonts w:hint="eastAsia"/>
                <w:color w:val="auto"/>
                <w:highlight w:val="none"/>
              </w:rPr>
              <w:t>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textAlignment w:val="auto"/>
              <w:rPr>
                <w:rFonts w:hint="eastAsia"/>
                <w:b/>
                <w:bCs/>
                <w:color w:val="auto"/>
                <w:highlight w:val="none"/>
                <w:lang w:val="en-US" w:eastAsia="zh-CN"/>
              </w:rPr>
            </w:pPr>
            <w:r>
              <w:rPr>
                <w:rFonts w:hint="eastAsia"/>
                <w:b/>
                <w:bCs/>
                <w:color w:val="auto"/>
                <w:highlight w:val="none"/>
                <w:lang w:val="en-US" w:eastAsia="zh-CN"/>
              </w:rPr>
              <w:t>6、生态</w:t>
            </w:r>
          </w:p>
          <w:p>
            <w:pPr>
              <w:bidi w:val="0"/>
              <w:rPr>
                <w:rFonts w:hint="eastAsia"/>
                <w:color w:val="auto"/>
                <w:highlight w:val="none"/>
                <w:lang w:eastAsia="zh-CN"/>
              </w:rPr>
            </w:pPr>
            <w:r>
              <w:rPr>
                <w:rFonts w:hint="eastAsia"/>
                <w:color w:val="auto"/>
                <w:highlight w:val="none"/>
                <w:lang w:eastAsia="zh-CN"/>
              </w:rPr>
              <w:t>本项目</w:t>
            </w:r>
            <w:r>
              <w:rPr>
                <w:rFonts w:hint="eastAsia"/>
                <w:color w:val="auto"/>
                <w:highlight w:val="none"/>
                <w:lang w:val="en-US" w:eastAsia="zh-CN"/>
              </w:rPr>
              <w:t>在现有厂区内进行建设，不新增占地，</w:t>
            </w:r>
            <w:r>
              <w:rPr>
                <w:rFonts w:hint="eastAsia"/>
                <w:color w:val="auto"/>
                <w:highlight w:val="none"/>
                <w:lang w:eastAsia="zh-CN"/>
              </w:rPr>
              <w:t>用地范围内无生态环境保护目标，</w:t>
            </w:r>
            <w:r>
              <w:rPr>
                <w:rFonts w:hint="eastAsia"/>
                <w:color w:val="auto"/>
                <w:highlight w:val="none"/>
                <w:lang w:val="en-US" w:eastAsia="zh-CN"/>
              </w:rPr>
              <w:t>不会</w:t>
            </w:r>
            <w:r>
              <w:rPr>
                <w:rFonts w:hint="eastAsia"/>
                <w:color w:val="auto"/>
                <w:highlight w:val="none"/>
                <w:lang w:eastAsia="zh-CN"/>
              </w:rPr>
              <w:t>对区域生态环境</w:t>
            </w:r>
            <w:r>
              <w:rPr>
                <w:rFonts w:hint="eastAsia"/>
                <w:color w:val="auto"/>
                <w:highlight w:val="none"/>
                <w:lang w:val="en-US" w:eastAsia="zh-CN"/>
              </w:rPr>
              <w:t>造成明显不利</w:t>
            </w:r>
            <w:r>
              <w:rPr>
                <w:rFonts w:hint="eastAsia"/>
                <w:color w:val="auto"/>
                <w:highlight w:val="none"/>
                <w:lang w:eastAsia="zh-CN"/>
              </w:rPr>
              <w:t>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7、环境风险</w:t>
            </w:r>
          </w:p>
          <w:p>
            <w:pPr>
              <w:bidi w:val="0"/>
              <w:rPr>
                <w:rFonts w:hint="eastAsia"/>
                <w:b/>
                <w:bCs/>
                <w:color w:val="auto"/>
                <w:highlight w:val="none"/>
                <w:lang w:val="en-US" w:eastAsia="zh-CN"/>
              </w:rPr>
            </w:pPr>
            <w:r>
              <w:rPr>
                <w:rFonts w:hint="eastAsia"/>
                <w:b/>
                <w:bCs/>
                <w:color w:val="auto"/>
                <w:highlight w:val="none"/>
                <w:lang w:val="en-US" w:eastAsia="zh-CN"/>
              </w:rPr>
              <w:t>7.1环境风险的识别</w:t>
            </w:r>
          </w:p>
          <w:p>
            <w:pPr>
              <w:bidi w:val="0"/>
              <w:rPr>
                <w:rFonts w:hint="default"/>
                <w:color w:val="auto"/>
                <w:highlight w:val="none"/>
                <w:lang w:val="en-US" w:eastAsia="zh-CN"/>
              </w:rPr>
            </w:pPr>
            <w:r>
              <w:rPr>
                <w:rFonts w:hint="default"/>
                <w:color w:val="auto"/>
                <w:highlight w:val="none"/>
                <w:lang w:val="en-US" w:eastAsia="zh-CN"/>
              </w:rPr>
              <w:t>本项目的风险物质主要为</w:t>
            </w:r>
            <w:r>
              <w:rPr>
                <w:rFonts w:hint="eastAsia"/>
                <w:color w:val="auto"/>
                <w:highlight w:val="none"/>
                <w:lang w:val="en-US" w:eastAsia="zh-CN"/>
              </w:rPr>
              <w:t>润滑油、废润滑油、异氰酸酯</w:t>
            </w:r>
            <w:r>
              <w:rPr>
                <w:rFonts w:hint="default"/>
                <w:color w:val="auto"/>
                <w:highlight w:val="none"/>
                <w:lang w:val="en-US" w:eastAsia="zh-CN"/>
              </w:rPr>
              <w:t>，上述物质在储存、使用过程中可能发生泄漏事故。</w:t>
            </w:r>
            <w:r>
              <w:rPr>
                <w:rFonts w:hint="eastAsia"/>
                <w:color w:val="auto"/>
                <w:highlight w:val="none"/>
                <w:lang w:val="en-US" w:eastAsia="zh-CN"/>
              </w:rPr>
              <w:t>润滑油、异氰酸酯密闭桶装储存于危险品储存区，废润滑油桶装加盖储存于危废间。</w:t>
            </w:r>
          </w:p>
          <w:p>
            <w:pPr>
              <w:pStyle w:val="31"/>
              <w:bidi w:val="0"/>
              <w:rPr>
                <w:rFonts w:hint="default" w:ascii="Times New Roman" w:hAnsi="Times New Roman" w:eastAsia="宋体" w:cs="Times New Roman"/>
                <w:b/>
                <w:bCs/>
                <w:color w:val="auto"/>
                <w:szCs w:val="21"/>
                <w:highlight w:val="none"/>
                <w:shd w:val="clear" w:color="auto" w:fill="auto"/>
                <w:lang w:val="en-US" w:eastAsia="zh-CN"/>
              </w:rPr>
            </w:pPr>
            <w:r>
              <w:rPr>
                <w:rFonts w:hint="default"/>
                <w:color w:val="auto"/>
                <w:highlight w:val="none"/>
                <w:lang w:val="zh-CN" w:eastAsia="zh-CN"/>
              </w:rPr>
              <w:t>表</w:t>
            </w:r>
            <w:r>
              <w:rPr>
                <w:rFonts w:hint="eastAsia"/>
                <w:color w:val="auto"/>
                <w:highlight w:val="none"/>
                <w:lang w:val="en-US" w:eastAsia="zh-CN"/>
              </w:rPr>
              <w:t>44  本项目风险物质识别及影响途径</w:t>
            </w:r>
            <w:r>
              <w:rPr>
                <w:rFonts w:hint="eastAsia"/>
                <w:color w:val="auto"/>
                <w:highlight w:val="none"/>
                <w:lang w:val="zh-CN" w:eastAsia="zh-CN"/>
              </w:rPr>
              <w:t>一览</w:t>
            </w:r>
            <w:r>
              <w:rPr>
                <w:rFonts w:hint="default"/>
                <w:color w:val="auto"/>
                <w:highlight w:val="none"/>
                <w:lang w:val="zh-CN" w:eastAsia="zh-CN"/>
              </w:rPr>
              <w:t>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56"/>
              <w:gridCol w:w="971"/>
              <w:gridCol w:w="953"/>
              <w:gridCol w:w="790"/>
              <w:gridCol w:w="2096"/>
              <w:gridCol w:w="866"/>
              <w:gridCol w:w="1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95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风险物质名称</w:t>
                  </w:r>
                </w:p>
              </w:tc>
              <w:tc>
                <w:tcPr>
                  <w:tcW w:w="9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贮存</w:t>
                  </w:r>
                  <w:r>
                    <w:rPr>
                      <w:rFonts w:hint="eastAsia" w:ascii="Times New Roman" w:hAnsi="Times New Roman" w:eastAsia="宋体" w:cs="Times New Roman"/>
                      <w:color w:val="auto"/>
                      <w:sz w:val="21"/>
                      <w:szCs w:val="21"/>
                      <w:highlight w:val="none"/>
                      <w:shd w:val="clear" w:color="auto" w:fill="auto"/>
                      <w:lang w:eastAsia="zh-CN"/>
                    </w:rPr>
                    <w:t>场所</w:t>
                  </w:r>
                </w:p>
              </w:tc>
              <w:tc>
                <w:tcPr>
                  <w:tcW w:w="95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最大储存量</w:t>
                  </w:r>
                  <w:r>
                    <w:rPr>
                      <w:rFonts w:hint="eastAsia" w:eastAsia="宋体" w:cs="Times New Roman"/>
                      <w:color w:val="auto"/>
                      <w:sz w:val="21"/>
                      <w:szCs w:val="21"/>
                      <w:highlight w:val="none"/>
                      <w:shd w:val="clear" w:color="auto" w:fill="auto"/>
                      <w:lang w:val="en-US" w:eastAsia="zh-CN"/>
                    </w:rPr>
                    <w:t>（t）</w:t>
                  </w:r>
                </w:p>
              </w:tc>
              <w:tc>
                <w:tcPr>
                  <w:tcW w:w="7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临界量（t）</w:t>
                  </w:r>
                </w:p>
              </w:tc>
              <w:tc>
                <w:tcPr>
                  <w:tcW w:w="20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临界量值来源</w:t>
                  </w:r>
                </w:p>
              </w:tc>
              <w:tc>
                <w:tcPr>
                  <w:tcW w:w="86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Q值</w:t>
                  </w:r>
                </w:p>
              </w:tc>
              <w:tc>
                <w:tcPr>
                  <w:tcW w:w="16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影响途经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56"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润滑油</w:t>
                  </w:r>
                </w:p>
              </w:tc>
              <w:tc>
                <w:tcPr>
                  <w:tcW w:w="971" w:type="dxa"/>
                  <w:vMerge w:val="restar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危险品储存区</w:t>
                  </w:r>
                </w:p>
              </w:tc>
              <w:tc>
                <w:tcPr>
                  <w:tcW w:w="95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w:t>
                  </w:r>
                </w:p>
              </w:tc>
              <w:tc>
                <w:tcPr>
                  <w:tcW w:w="7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2500</w:t>
                  </w:r>
                </w:p>
              </w:tc>
              <w:tc>
                <w:tcPr>
                  <w:tcW w:w="20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HJ169-2018中附录B表B.1- 381油类物质</w:t>
                  </w:r>
                </w:p>
              </w:tc>
              <w:tc>
                <w:tcPr>
                  <w:tcW w:w="86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0.000004</w:t>
                  </w:r>
                </w:p>
              </w:tc>
              <w:tc>
                <w:tcPr>
                  <w:tcW w:w="1645"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泄漏漫流至地面下渗影响土壤及地下水环境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引起火灾产生废气、消防废水等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56"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异氰酸酯</w:t>
                  </w:r>
                </w:p>
              </w:tc>
              <w:tc>
                <w:tcPr>
                  <w:tcW w:w="971" w:type="dxa"/>
                  <w:vMerge w:val="continue"/>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p>
              </w:tc>
              <w:tc>
                <w:tcPr>
                  <w:tcW w:w="95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0.016</w:t>
                  </w:r>
                </w:p>
              </w:tc>
              <w:tc>
                <w:tcPr>
                  <w:tcW w:w="7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w:t>
                  </w:r>
                </w:p>
              </w:tc>
              <w:tc>
                <w:tcPr>
                  <w:tcW w:w="20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HJ169-2018中附录B表B.1 -104油类物质</w:t>
                  </w:r>
                </w:p>
              </w:tc>
              <w:tc>
                <w:tcPr>
                  <w:tcW w:w="86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0.032</w:t>
                  </w:r>
                </w:p>
              </w:tc>
              <w:tc>
                <w:tcPr>
                  <w:tcW w:w="16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956"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tc>
              <w:tc>
                <w:tcPr>
                  <w:tcW w:w="971"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危废间</w:t>
                  </w:r>
                </w:p>
              </w:tc>
              <w:tc>
                <w:tcPr>
                  <w:tcW w:w="95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0.0015</w:t>
                  </w:r>
                </w:p>
              </w:tc>
              <w:tc>
                <w:tcPr>
                  <w:tcW w:w="79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100</w:t>
                  </w:r>
                </w:p>
              </w:tc>
              <w:tc>
                <w:tcPr>
                  <w:tcW w:w="209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HJ169-2018中附录B表B.2 -3危害水环境物质（急性毒性类别1）</w:t>
                  </w:r>
                </w:p>
              </w:tc>
              <w:tc>
                <w:tcPr>
                  <w:tcW w:w="86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0.000015</w:t>
                  </w:r>
                </w:p>
              </w:tc>
              <w:tc>
                <w:tcPr>
                  <w:tcW w:w="1645"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8277" w:type="dxa"/>
                  <w:gridSpan w:val="7"/>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备注：</w:t>
                  </w:r>
                  <w:r>
                    <w:rPr>
                      <w:rFonts w:hint="eastAsia" w:ascii="宋体" w:hAnsi="宋体" w:eastAsia="宋体" w:cs="宋体"/>
                      <w:color w:val="auto"/>
                      <w:kern w:val="0"/>
                      <w:sz w:val="21"/>
                      <w:szCs w:val="21"/>
                      <w:lang w:val="en-US" w:eastAsia="zh-CN" w:bidi="ar"/>
                    </w:rPr>
                    <w:t>异氰酸酯包括甲苯二异氰酸酯（</w:t>
                  </w:r>
                  <w:r>
                    <w:rPr>
                      <w:rFonts w:hint="default" w:ascii="Times New Roman" w:hAnsi="Times New Roman" w:eastAsia="宋体" w:cs="Times New Roman"/>
                      <w:color w:val="auto"/>
                      <w:kern w:val="0"/>
                      <w:sz w:val="21"/>
                      <w:szCs w:val="21"/>
                      <w:lang w:val="en-US" w:eastAsia="zh-CN" w:bidi="ar"/>
                    </w:rPr>
                    <w:t>TDI</w:t>
                  </w:r>
                  <w:r>
                    <w:rPr>
                      <w:rFonts w:hint="eastAsia" w:ascii="宋体" w:hAnsi="宋体" w:eastAsia="宋体" w:cs="宋体"/>
                      <w:color w:val="auto"/>
                      <w:kern w:val="0"/>
                      <w:sz w:val="21"/>
                      <w:szCs w:val="21"/>
                      <w:lang w:val="en-US" w:eastAsia="zh-CN" w:bidi="ar"/>
                    </w:rPr>
                    <w:t>）、二苯基亚甲基二异氰酸酯</w:t>
                  </w:r>
                  <w:r>
                    <w:rPr>
                      <w:rFonts w:hint="default" w:ascii="Times New Roman" w:hAnsi="Times New Roman" w:eastAsia="宋体" w:cs="Times New Roman"/>
                      <w:color w:val="auto"/>
                      <w:kern w:val="0"/>
                      <w:sz w:val="21"/>
                      <w:szCs w:val="21"/>
                      <w:lang w:val="en-US" w:eastAsia="zh-CN" w:bidi="ar"/>
                    </w:rPr>
                    <w:t>（MDI）</w:t>
                  </w:r>
                  <w:r>
                    <w:rPr>
                      <w:rFonts w:hint="eastAsia" w:ascii="宋体" w:hAnsi="宋体" w:eastAsia="宋体" w:cs="宋体"/>
                      <w:color w:val="auto"/>
                      <w:kern w:val="0"/>
                      <w:sz w:val="21"/>
                      <w:szCs w:val="21"/>
                      <w:lang w:val="en-US" w:eastAsia="zh-CN" w:bidi="ar"/>
                    </w:rPr>
                    <w:t>、异佛尔酮二异氰酸酯（</w:t>
                  </w:r>
                  <w:r>
                    <w:rPr>
                      <w:rFonts w:hint="default" w:ascii="Times New Roman" w:hAnsi="Times New Roman" w:eastAsia="宋体" w:cs="Times New Roman"/>
                      <w:color w:val="auto"/>
                      <w:kern w:val="0"/>
                      <w:sz w:val="21"/>
                      <w:szCs w:val="21"/>
                      <w:lang w:val="en-US" w:eastAsia="zh-CN" w:bidi="ar"/>
                    </w:rPr>
                    <w:t>IPDI</w:t>
                  </w:r>
                  <w:r>
                    <w:rPr>
                      <w:rFonts w:hint="eastAsia" w:ascii="宋体" w:hAnsi="宋体" w:eastAsia="宋体" w:cs="宋体"/>
                      <w:color w:val="auto"/>
                      <w:kern w:val="0"/>
                      <w:sz w:val="21"/>
                      <w:szCs w:val="21"/>
                      <w:lang w:val="en-US" w:eastAsia="zh-CN" w:bidi="ar"/>
                    </w:rPr>
                    <w:t>）、多亚甲基多苯基异氰酸酯（</w:t>
                  </w:r>
                  <w:r>
                    <w:rPr>
                      <w:rFonts w:hint="default" w:ascii="Times New Roman" w:hAnsi="Times New Roman" w:eastAsia="宋体" w:cs="Times New Roman"/>
                      <w:color w:val="auto"/>
                      <w:kern w:val="0"/>
                      <w:sz w:val="21"/>
                      <w:szCs w:val="21"/>
                      <w:lang w:val="en-US" w:eastAsia="zh-CN" w:bidi="ar"/>
                    </w:rPr>
                    <w:t>PAPI</w:t>
                  </w:r>
                  <w:r>
                    <w:rPr>
                      <w:rFonts w:hint="eastAsia" w:ascii="宋体" w:hAnsi="宋体" w:eastAsia="宋体" w:cs="宋体"/>
                      <w:color w:val="auto"/>
                      <w:kern w:val="0"/>
                      <w:sz w:val="21"/>
                      <w:szCs w:val="21"/>
                      <w:lang w:val="en-US" w:eastAsia="zh-CN" w:bidi="ar"/>
                    </w:rPr>
                    <w:t>）等，本次评价按临界量值中最小的二苯基亚甲基二异氰酸酯</w:t>
                  </w:r>
                  <w:r>
                    <w:rPr>
                      <w:rFonts w:hint="default" w:ascii="Times New Roman" w:hAnsi="Times New Roman" w:eastAsia="宋体" w:cs="Times New Roman"/>
                      <w:color w:val="auto"/>
                      <w:kern w:val="0"/>
                      <w:sz w:val="21"/>
                      <w:szCs w:val="21"/>
                      <w:lang w:val="en-US" w:eastAsia="zh-CN" w:bidi="ar"/>
                    </w:rPr>
                    <w:t>（MDI）</w:t>
                  </w:r>
                  <w:r>
                    <w:rPr>
                      <w:rFonts w:hint="eastAsia" w:ascii="Times New Roman" w:hAnsi="Times New Roman" w:eastAsia="宋体" w:cs="Times New Roman"/>
                      <w:color w:val="auto"/>
                      <w:kern w:val="0"/>
                      <w:sz w:val="21"/>
                      <w:szCs w:val="21"/>
                      <w:lang w:val="en-US" w:eastAsia="zh-CN" w:bidi="ar"/>
                    </w:rPr>
                    <w:t>计。</w:t>
                  </w:r>
                </w:p>
              </w:tc>
            </w:tr>
          </w:tbl>
          <w:p>
            <w:pPr>
              <w:bidi w:val="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rPr>
              <w:t>风险物质</w:t>
            </w:r>
            <w:r>
              <w:rPr>
                <w:rFonts w:hint="eastAsia"/>
                <w:color w:val="auto"/>
                <w:highlight w:val="none"/>
                <w:lang w:val="en-US" w:eastAsia="zh-CN"/>
              </w:rPr>
              <w:t>最大储存量</w:t>
            </w:r>
            <w:r>
              <w:rPr>
                <w:rFonts w:hint="default"/>
                <w:color w:val="auto"/>
                <w:highlight w:val="none"/>
              </w:rPr>
              <w:t>与临界量比值Q值</w:t>
            </w:r>
            <w:r>
              <w:rPr>
                <w:rFonts w:hint="eastAsia"/>
                <w:color w:val="auto"/>
                <w:highlight w:val="none"/>
                <w:lang w:val="en-US" w:eastAsia="zh-CN"/>
              </w:rPr>
              <w:t>﹤1。</w:t>
            </w:r>
          </w:p>
          <w:p>
            <w:pPr>
              <w:bidi w:val="0"/>
              <w:rPr>
                <w:rFonts w:hint="default"/>
                <w:color w:val="auto"/>
                <w:highlight w:val="none"/>
                <w:lang w:val="en-US" w:eastAsia="zh-CN"/>
              </w:rPr>
            </w:pPr>
            <w:r>
              <w:rPr>
                <w:rFonts w:hint="eastAsia"/>
                <w:color w:val="auto"/>
                <w:highlight w:val="none"/>
                <w:lang w:val="en-US" w:eastAsia="zh-CN"/>
              </w:rPr>
              <w:t>风险物质</w:t>
            </w:r>
            <w:r>
              <w:rPr>
                <w:rFonts w:hint="eastAsia"/>
                <w:color w:val="auto"/>
                <w:highlight w:val="none"/>
                <w:lang w:eastAsia="zh-CN"/>
              </w:rPr>
              <w:t>理化性质见下表。</w:t>
            </w:r>
          </w:p>
          <w:p>
            <w:pPr>
              <w:pStyle w:val="31"/>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表45  润滑油的理化性质及危险性识别一览表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843"/>
              <w:gridCol w:w="1457"/>
              <w:gridCol w:w="1702"/>
              <w:gridCol w:w="1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沸点</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自燃点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润滑油</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w:t>
                  </w:r>
                  <w:r>
                    <w:rPr>
                      <w:rFonts w:hint="default" w:ascii="Times New Roman" w:hAnsi="Times New Roman" w:eastAsia="宋体" w:cs="Times New Roman"/>
                      <w:color w:val="auto"/>
                      <w:sz w:val="21"/>
                      <w:szCs w:val="21"/>
                      <w:highlight w:val="none"/>
                      <w:shd w:val="clear" w:color="auto" w:fill="auto"/>
                      <w:lang w:val="en-US" w:eastAsia="zh-CN"/>
                    </w:rPr>
                    <w:t>℃</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300-350</w:t>
                  </w:r>
                  <w:r>
                    <w:rPr>
                      <w:rFonts w:hint="default"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闪点（开口）</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蒸汽压（145.8</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引燃温度</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密度（水=1）</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爆炸下限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w:t>
                  </w:r>
                  <w:r>
                    <w:rPr>
                      <w:rFonts w:hint="default" w:ascii="Times New Roman" w:hAnsi="Times New Roman" w:eastAsia="宋体" w:cs="Times New Roman"/>
                      <w:color w:val="auto"/>
                      <w:sz w:val="21"/>
                      <w:szCs w:val="21"/>
                      <w:highlight w:val="none"/>
                      <w:shd w:val="clear" w:color="auto" w:fill="auto"/>
                      <w:lang w:val="en-US" w:eastAsia="zh-CN"/>
                    </w:rPr>
                    <w:t>0℃</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0.13Pa</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0.91</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淡黄色粘稠液体，溶于苯、乙醇、乙醚、氯仿、丙酮等多数有机溶剂。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储存注意</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储存于阴凉、通风的库房。远离火种、热源。应与氧化剂分开存放，切忌混储。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急性吸入可出现乏力、头痛、头晕、恶心，严重者可引起油脂性肺炎。慢接触者，暴露部位可发生油性痤疮和接触性皮炎，可引发神经衰弱综合征，呼吸道和眼刺激症状及慢性油脂性肺炎。</w:t>
                  </w:r>
                </w:p>
              </w:tc>
            </w:tr>
          </w:tbl>
          <w:p>
            <w:pPr>
              <w:pStyle w:val="31"/>
              <w:bidi w:val="0"/>
              <w:rPr>
                <w:rFonts w:hint="eastAsia"/>
                <w:color w:val="auto"/>
                <w:highlight w:val="none"/>
                <w:lang w:val="en-US" w:eastAsia="zh-CN"/>
              </w:rPr>
            </w:pPr>
          </w:p>
          <w:p>
            <w:pPr>
              <w:pStyle w:val="31"/>
              <w:bidi w:val="0"/>
              <w:rPr>
                <w:rFonts w:hint="default" w:ascii="Times New Roman" w:hAnsi="Times New Roman" w:eastAsia="宋体" w:cs="Times New Roman"/>
                <w:b/>
                <w:bCs/>
                <w:color w:val="auto"/>
                <w:szCs w:val="21"/>
                <w:highlight w:val="none"/>
                <w:shd w:val="clear" w:color="auto" w:fill="auto"/>
                <w:lang w:val="en-US" w:eastAsia="zh-CN"/>
              </w:rPr>
            </w:pPr>
            <w:r>
              <w:rPr>
                <w:rFonts w:hint="eastAsia"/>
                <w:color w:val="auto"/>
                <w:highlight w:val="none"/>
                <w:lang w:val="en-US" w:eastAsia="zh-CN"/>
              </w:rPr>
              <w:t>表46  异氰酸酯的理化性质及危险性识别一览表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843"/>
              <w:gridCol w:w="1457"/>
              <w:gridCol w:w="1702"/>
              <w:gridCol w:w="1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8"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物质名称</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分子式</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分子量</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沸点</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自燃点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异氰酸酯</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39.1</w:t>
                  </w:r>
                  <w:r>
                    <w:rPr>
                      <w:rFonts w:hint="default" w:ascii="Times New Roman" w:hAnsi="Times New Roman" w:eastAsia="宋体" w:cs="Times New Roman"/>
                      <w:color w:val="auto"/>
                      <w:sz w:val="21"/>
                      <w:szCs w:val="21"/>
                      <w:highlight w:val="none"/>
                      <w:shd w:val="clear" w:color="auto" w:fill="auto"/>
                      <w:lang w:val="en-US" w:eastAsia="zh-CN"/>
                    </w:rPr>
                    <w:t>℃</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534</w:t>
                  </w:r>
                  <w:r>
                    <w:rPr>
                      <w:rFonts w:hint="default"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闪点（开口）</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蒸汽压（</w:t>
                  </w:r>
                  <w:r>
                    <w:rPr>
                      <w:rFonts w:hint="eastAsia" w:ascii="Times New Roman" w:hAnsi="Times New Roman" w:cs="Times New Roman"/>
                      <w:color w:val="auto"/>
                      <w:sz w:val="21"/>
                      <w:szCs w:val="21"/>
                      <w:highlight w:val="none"/>
                      <w:shd w:val="clear" w:color="auto" w:fill="auto"/>
                      <w:lang w:val="en-US" w:eastAsia="zh-CN"/>
                    </w:rPr>
                    <w:t>25</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引燃温度</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密度</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爆炸下限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&lt;-15℃(闭杯)</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6750mmHg</w:t>
                  </w:r>
                </w:p>
              </w:tc>
              <w:tc>
                <w:tcPr>
                  <w:tcW w:w="14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70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1.04g/cm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p>
              </w:tc>
              <w:tc>
                <w:tcPr>
                  <w:tcW w:w="148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性</w:t>
                  </w:r>
                  <w:r>
                    <w:rPr>
                      <w:rFonts w:hint="eastAsia" w:ascii="Times New Roman" w:hAnsi="Times New Roman" w:eastAsia="宋体" w:cs="Times New Roman"/>
                      <w:color w:val="auto"/>
                      <w:sz w:val="21"/>
                      <w:szCs w:val="21"/>
                      <w:highlight w:val="none"/>
                      <w:shd w:val="clear" w:color="auto" w:fill="auto"/>
                      <w:lang w:val="en-US" w:eastAsia="zh-CN"/>
                    </w:rPr>
                    <w:t>状和溶解性</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无色清亮液体, 有强刺激性</w:t>
                  </w:r>
                  <w:r>
                    <w:rPr>
                      <w:rFonts w:hint="eastAsia" w:ascii="Times New Roman" w:hAnsi="Times New Roman" w:cs="Times New Roman"/>
                      <w:color w:val="auto"/>
                      <w:sz w:val="21"/>
                      <w:szCs w:val="21"/>
                      <w:highlight w:val="none"/>
                      <w:shd w:val="clear" w:color="auto" w:fill="auto"/>
                      <w:lang w:val="en-US" w:eastAsia="zh-CN"/>
                    </w:rPr>
                    <w:t>，15℃时水中</w:t>
                  </w:r>
                  <w:r>
                    <w:rPr>
                      <w:rFonts w:hint="eastAsia" w:ascii="Times New Roman" w:hAnsi="Times New Roman" w:cs="Times New Roman"/>
                      <w:color w:val="auto"/>
                      <w:sz w:val="21"/>
                      <w:szCs w:val="21"/>
                      <w:highlight w:val="none"/>
                      <w:shd w:val="clear" w:color="auto" w:fill="auto"/>
                      <w:lang w:val="en-US" w:eastAsia="zh-CN"/>
                    </w:rPr>
                    <w:fldChar w:fldCharType="begin"/>
                  </w:r>
                  <w:r>
                    <w:rPr>
                      <w:rFonts w:hint="eastAsia" w:ascii="Times New Roman" w:hAnsi="Times New Roman" w:cs="Times New Roman"/>
                      <w:color w:val="auto"/>
                      <w:sz w:val="21"/>
                      <w:szCs w:val="21"/>
                      <w:highlight w:val="none"/>
                      <w:shd w:val="clear" w:color="auto" w:fill="auto"/>
                      <w:lang w:val="en-US" w:eastAsia="zh-CN"/>
                    </w:rPr>
                    <w:instrText xml:space="preserve"> HYPERLINK "https://baike.baidu.com/item/%E6%BA%B6%E8%A7%A3%E5%BA%A6/438206?fromModule=lemma_inlink" \t "https://baike.baidu.com/item/%E5%BC%82%E6%B0%B0%E9%85%B8%E9%85%AF/_blank" </w:instrText>
                  </w:r>
                  <w:r>
                    <w:rPr>
                      <w:rFonts w:hint="eastAsia" w:ascii="Times New Roman" w:hAnsi="Times New Roman" w:cs="Times New Roman"/>
                      <w:color w:val="auto"/>
                      <w:sz w:val="21"/>
                      <w:szCs w:val="21"/>
                      <w:highlight w:val="none"/>
                      <w:shd w:val="clear" w:color="auto" w:fill="auto"/>
                      <w:lang w:val="en-US" w:eastAsia="zh-CN"/>
                    </w:rPr>
                    <w:fldChar w:fldCharType="separate"/>
                  </w:r>
                  <w:r>
                    <w:rPr>
                      <w:rFonts w:hint="eastAsia" w:ascii="Times New Roman" w:hAnsi="Times New Roman" w:cs="Times New Roman"/>
                      <w:color w:val="auto"/>
                      <w:sz w:val="21"/>
                      <w:szCs w:val="21"/>
                      <w:highlight w:val="none"/>
                      <w:shd w:val="clear" w:color="auto" w:fill="auto"/>
                      <w:lang w:val="en-US" w:eastAsia="zh-CN"/>
                    </w:rPr>
                    <w:t>溶解度</w:t>
                  </w:r>
                  <w:r>
                    <w:rPr>
                      <w:rFonts w:hint="eastAsia" w:ascii="Times New Roman" w:hAnsi="Times New Roman" w:cs="Times New Roman"/>
                      <w:color w:val="auto"/>
                      <w:sz w:val="21"/>
                      <w:szCs w:val="21"/>
                      <w:highlight w:val="none"/>
                      <w:shd w:val="clear" w:color="auto" w:fill="auto"/>
                      <w:lang w:val="en-US" w:eastAsia="zh-CN"/>
                    </w:rPr>
                    <w:fldChar w:fldCharType="end"/>
                  </w:r>
                  <w:r>
                    <w:rPr>
                      <w:rFonts w:hint="eastAsia" w:ascii="Times New Roman" w:hAnsi="Times New Roman" w:cs="Times New Roman"/>
                      <w:color w:val="auto"/>
                      <w:sz w:val="21"/>
                      <w:szCs w:val="21"/>
                      <w:highlight w:val="none"/>
                      <w:shd w:val="clear" w:color="auto" w:fill="auto"/>
                      <w:lang w:val="en-US" w:eastAsia="zh-CN"/>
                    </w:rPr>
                    <w:t>：1%；20℃时6.7%</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储存注意</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低温、无光照条件下储存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7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健康危害</w:t>
                  </w:r>
                </w:p>
              </w:tc>
              <w:tc>
                <w:tcPr>
                  <w:tcW w:w="6502"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对眼</w:t>
                  </w:r>
                  <w:r>
                    <w:rPr>
                      <w:rFonts w:hint="eastAsia" w:ascii="Times New Roman" w:hAnsi="Times New Roman" w:eastAsia="宋体" w:cs="Times New Roman"/>
                      <w:color w:val="auto"/>
                      <w:sz w:val="21"/>
                      <w:szCs w:val="21"/>
                      <w:highlight w:val="none"/>
                      <w:shd w:val="clear" w:color="auto" w:fill="auto"/>
                      <w:lang w:val="en-US" w:eastAsia="zh-CN"/>
                    </w:rPr>
                    <w:t>和上呼吸道的刺激和损伤：低浓度引起流泪和咳嗽，高浓度可引起眼红肿和化学性灼伤。也能破坏鼻粘膜，使嗅觉丧失，上呼吸道粘膜也可致化学损伤。超过50mg/m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的浓度，可引起皮肤水肿，组织坏死。对肺的损害：浓度超过50mg/m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时</w:t>
                  </w:r>
                  <w:r>
                    <w:rPr>
                      <w:rFonts w:hint="eastAsia" w:ascii="Times New Roman" w:hAnsi="Times New Roman"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还可导致化学性肺炎与肺水肿,甚至引起ARDS。未死者常伴继发感染致呼吸窨迫，肺功能受损，日久尚可形成肺纤维化。浓度很高时，也可因支气管痉挛致窒息。 此外，尚可引起呼吸道过敏反应，加重呼吸困难和肺水肿</w:t>
                  </w:r>
                  <w:r>
                    <w:rPr>
                      <w:rFonts w:hint="eastAsia" w:ascii="Times New Roman" w:hAnsi="Times New Roman" w:cs="Times New Roman"/>
                      <w:color w:val="auto"/>
                      <w:sz w:val="21"/>
                      <w:szCs w:val="21"/>
                      <w:highlight w:val="none"/>
                      <w:shd w:val="clear" w:color="auto" w:fill="auto"/>
                      <w:lang w:val="en-US" w:eastAsia="zh-CN"/>
                    </w:rPr>
                    <w:t>。</w:t>
                  </w:r>
                </w:p>
              </w:tc>
            </w:tr>
          </w:tbl>
          <w:p>
            <w:pPr>
              <w:numPr>
                <w:ilvl w:val="0"/>
                <w:numId w:val="0"/>
              </w:numPr>
              <w:ind w:leftChars="200"/>
              <w:rPr>
                <w:rFonts w:hint="default"/>
                <w:b/>
                <w:bCs/>
                <w:color w:val="auto"/>
                <w:highlight w:val="none"/>
                <w:lang w:val="en-US" w:eastAsia="zh-CN"/>
              </w:rPr>
            </w:pPr>
            <w:r>
              <w:rPr>
                <w:rFonts w:hint="eastAsia"/>
                <w:b/>
                <w:bCs/>
                <w:color w:val="auto"/>
                <w:highlight w:val="none"/>
                <w:lang w:val="en-US" w:eastAsia="zh-CN"/>
              </w:rPr>
              <w:t>7.2环境影响途径</w:t>
            </w:r>
          </w:p>
          <w:p>
            <w:pPr>
              <w:spacing w:line="480" w:lineRule="exact"/>
              <w:ind w:firstLine="480" w:firstLineChars="200"/>
              <w:rPr>
                <w:rFonts w:hint="default" w:ascii="Times New Roman" w:hAnsi="Times New Roman" w:eastAsia="宋体" w:cs="Times New Roman"/>
                <w:b w:val="0"/>
                <w:bCs w:val="0"/>
                <w:smallCaps w:val="0"/>
                <w:color w:val="auto"/>
                <w:spacing w:val="0"/>
                <w:position w:val="0"/>
                <w:sz w:val="24"/>
                <w:szCs w:val="24"/>
                <w:highlight w:val="none"/>
              </w:rPr>
            </w:pPr>
            <w:r>
              <w:rPr>
                <w:rFonts w:hint="default" w:ascii="Times New Roman" w:hAnsi="Times New Roman" w:eastAsia="宋体" w:cs="Times New Roman"/>
                <w:b w:val="0"/>
                <w:bCs w:val="0"/>
                <w:smallCaps w:val="0"/>
                <w:color w:val="auto"/>
                <w:spacing w:val="0"/>
                <w:position w:val="0"/>
                <w:sz w:val="24"/>
                <w:szCs w:val="24"/>
                <w:highlight w:val="none"/>
              </w:rPr>
              <w:t>本项目可能影响环境的途径分别为：</w:t>
            </w:r>
          </w:p>
          <w:p>
            <w:pPr>
              <w:pStyle w:val="4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w:t>
            </w:r>
            <w:r>
              <w:rPr>
                <w:rFonts w:hint="eastAsia" w:eastAsia="宋体"/>
                <w:color w:val="auto"/>
                <w:kern w:val="2"/>
                <w:sz w:val="24"/>
                <w:szCs w:val="24"/>
                <w:highlight w:val="none"/>
                <w:lang w:val="en-US" w:eastAsia="zh-CN" w:bidi="ar-SA"/>
              </w:rPr>
              <w:t>润滑油、废润滑油、异氰酸酯泄漏，</w:t>
            </w:r>
            <w:r>
              <w:rPr>
                <w:rFonts w:hint="default" w:ascii="Times New Roman" w:hAnsi="Times New Roman" w:eastAsia="宋体"/>
                <w:color w:val="auto"/>
                <w:kern w:val="2"/>
                <w:sz w:val="24"/>
                <w:szCs w:val="24"/>
                <w:highlight w:val="none"/>
                <w:lang w:val="en-US" w:eastAsia="zh-CN" w:bidi="ar-SA"/>
              </w:rPr>
              <w:t>主要为因碰撞</w:t>
            </w:r>
            <w:r>
              <w:rPr>
                <w:rFonts w:hint="eastAsia" w:eastAsia="宋体"/>
                <w:color w:val="auto"/>
                <w:kern w:val="2"/>
                <w:sz w:val="24"/>
                <w:szCs w:val="24"/>
                <w:highlight w:val="none"/>
                <w:lang w:val="en-US" w:eastAsia="zh-CN" w:bidi="ar-SA"/>
              </w:rPr>
              <w:t>、包装损坏</w:t>
            </w:r>
            <w:r>
              <w:rPr>
                <w:rFonts w:hint="default" w:ascii="Times New Roman" w:hAnsi="Times New Roman" w:eastAsia="宋体"/>
                <w:color w:val="auto"/>
                <w:kern w:val="2"/>
                <w:sz w:val="24"/>
                <w:szCs w:val="24"/>
                <w:highlight w:val="none"/>
                <w:lang w:val="en-US" w:eastAsia="zh-CN" w:bidi="ar-SA"/>
              </w:rPr>
              <w:t>等原因导致泄漏，并且未及时收集处理，导致风险物质在生产使用区及厂区地面溢流，污染地下水；因碰撞、包装不合格等原因导致</w:t>
            </w:r>
            <w:r>
              <w:rPr>
                <w:rFonts w:hint="eastAsia" w:eastAsia="宋体"/>
                <w:color w:val="auto"/>
                <w:kern w:val="2"/>
                <w:sz w:val="24"/>
                <w:szCs w:val="24"/>
                <w:highlight w:val="none"/>
                <w:lang w:val="en-US" w:eastAsia="zh-CN" w:bidi="ar-SA"/>
              </w:rPr>
              <w:t>异氰酸酯</w:t>
            </w:r>
            <w:r>
              <w:rPr>
                <w:rFonts w:hint="default" w:ascii="Times New Roman" w:hAnsi="Times New Roman" w:eastAsia="宋体"/>
                <w:color w:val="auto"/>
                <w:kern w:val="2"/>
                <w:sz w:val="24"/>
                <w:szCs w:val="24"/>
                <w:highlight w:val="none"/>
                <w:lang w:val="en-US" w:eastAsia="zh-CN" w:bidi="ar-SA"/>
              </w:rPr>
              <w:t>发生泄漏，有害物质挥发到大气中，对环境空气造成影响</w:t>
            </w:r>
            <w:r>
              <w:rPr>
                <w:rFonts w:hint="eastAsia"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或于雨天发生泄漏，随雨水散排流出厂界，对外界环境造成影响</w:t>
            </w:r>
            <w:r>
              <w:rPr>
                <w:rFonts w:hint="eastAsia" w:eastAsia="宋体"/>
                <w:color w:val="auto"/>
                <w:kern w:val="2"/>
                <w:sz w:val="24"/>
                <w:szCs w:val="24"/>
                <w:highlight w:val="none"/>
                <w:lang w:val="en-US" w:eastAsia="zh-CN" w:bidi="ar-SA"/>
              </w:rPr>
              <w:t>，液化石油气</w:t>
            </w:r>
            <w:r>
              <w:rPr>
                <w:rFonts w:hint="default" w:ascii="Times New Roman" w:hAnsi="Times New Roman" w:eastAsia="宋体"/>
                <w:color w:val="auto"/>
                <w:kern w:val="2"/>
                <w:sz w:val="24"/>
                <w:szCs w:val="24"/>
                <w:highlight w:val="none"/>
                <w:lang w:val="en-US" w:eastAsia="zh-CN" w:bidi="ar-SA"/>
              </w:rPr>
              <w:t>因碰撞</w:t>
            </w:r>
            <w:r>
              <w:rPr>
                <w:rFonts w:hint="eastAsia" w:eastAsia="宋体"/>
                <w:color w:val="auto"/>
                <w:kern w:val="2"/>
                <w:sz w:val="24"/>
                <w:szCs w:val="24"/>
                <w:highlight w:val="none"/>
                <w:lang w:val="en-US" w:eastAsia="zh-CN" w:bidi="ar-SA"/>
              </w:rPr>
              <w:t>、包装损坏</w:t>
            </w:r>
            <w:r>
              <w:rPr>
                <w:rFonts w:hint="default" w:ascii="Times New Roman" w:hAnsi="Times New Roman" w:eastAsia="宋体"/>
                <w:color w:val="auto"/>
                <w:kern w:val="2"/>
                <w:sz w:val="24"/>
                <w:szCs w:val="24"/>
                <w:highlight w:val="none"/>
                <w:lang w:val="en-US" w:eastAsia="zh-CN" w:bidi="ar-SA"/>
              </w:rPr>
              <w:t>等原因导致泄漏。</w:t>
            </w:r>
          </w:p>
          <w:p>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事故次生环境风险事故：火灾事故对环境的危害主要为有毒烟雾和灭火过程中产生的消防废水散流造成的次生环境污染问题，同时消防水中携带了一定量的风险物质，若不能及时收集可能排出厂界，对外界水环境造成影响。</w:t>
            </w:r>
          </w:p>
          <w:p>
            <w:pPr>
              <w:numPr>
                <w:ilvl w:val="0"/>
                <w:numId w:val="0"/>
              </w:numPr>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7.3环境风险分析</w:t>
            </w:r>
          </w:p>
          <w:p>
            <w:pPr>
              <w:pStyle w:val="9"/>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w:t>
            </w:r>
            <w:r>
              <w:rPr>
                <w:rFonts w:hint="eastAsia"/>
                <w:color w:val="auto"/>
                <w:highlight w:val="none"/>
                <w:lang w:val="en-US" w:eastAsia="zh-CN"/>
              </w:rPr>
              <w:t>本项目风险物质储存量较小，异氰酸酯发生</w:t>
            </w:r>
            <w:r>
              <w:rPr>
                <w:rFonts w:hint="default"/>
                <w:color w:val="auto"/>
                <w:highlight w:val="none"/>
                <w:lang w:val="en-US" w:eastAsia="zh-CN"/>
              </w:rPr>
              <w:t>泄漏，</w:t>
            </w:r>
            <w:r>
              <w:rPr>
                <w:rFonts w:hint="eastAsia"/>
                <w:color w:val="auto"/>
                <w:highlight w:val="none"/>
                <w:lang w:val="en-US" w:eastAsia="zh-CN"/>
              </w:rPr>
              <w:t>导致有害物质挥发到大气中的量很低，对环境空气影响不大；</w:t>
            </w:r>
            <w:r>
              <w:rPr>
                <w:rFonts w:hint="default" w:ascii="Times New Roman" w:hAnsi="Times New Roman" w:eastAsia="宋体"/>
                <w:color w:val="auto"/>
                <w:kern w:val="2"/>
                <w:sz w:val="24"/>
                <w:szCs w:val="24"/>
                <w:highlight w:val="none"/>
                <w:lang w:val="en-US" w:eastAsia="zh-CN" w:bidi="ar-SA"/>
              </w:rPr>
              <w:t>风险物质在</w:t>
            </w:r>
            <w:r>
              <w:rPr>
                <w:rFonts w:hint="eastAsia" w:ascii="Times New Roman" w:hAnsi="Times New Roman" w:eastAsia="宋体"/>
                <w:color w:val="auto"/>
                <w:kern w:val="2"/>
                <w:sz w:val="24"/>
                <w:szCs w:val="24"/>
                <w:highlight w:val="none"/>
                <w:lang w:val="en-US" w:eastAsia="zh-CN" w:bidi="ar-SA"/>
              </w:rPr>
              <w:t>储存区、</w:t>
            </w:r>
            <w:r>
              <w:rPr>
                <w:rFonts w:hint="default" w:ascii="Times New Roman" w:hAnsi="Times New Roman" w:eastAsia="宋体"/>
                <w:color w:val="auto"/>
                <w:kern w:val="2"/>
                <w:sz w:val="24"/>
                <w:szCs w:val="24"/>
                <w:highlight w:val="none"/>
                <w:lang w:val="en-US" w:eastAsia="zh-CN" w:bidi="ar-SA"/>
              </w:rPr>
              <w:t>生产使用区泄漏时，</w:t>
            </w:r>
            <w:r>
              <w:rPr>
                <w:rFonts w:hint="eastAsia" w:ascii="Times New Roman" w:hAnsi="Times New Roman" w:eastAsia="宋体"/>
                <w:color w:val="auto"/>
                <w:kern w:val="2"/>
                <w:sz w:val="24"/>
                <w:szCs w:val="24"/>
                <w:highlight w:val="none"/>
                <w:lang w:val="en-US" w:eastAsia="zh-CN" w:bidi="ar-SA"/>
              </w:rPr>
              <w:t>储存区、</w:t>
            </w:r>
            <w:r>
              <w:rPr>
                <w:rFonts w:hint="default" w:ascii="Times New Roman" w:hAnsi="Times New Roman" w:eastAsia="宋体"/>
                <w:color w:val="auto"/>
                <w:kern w:val="2"/>
                <w:sz w:val="24"/>
                <w:szCs w:val="24"/>
                <w:highlight w:val="none"/>
                <w:lang w:val="en-US" w:eastAsia="zh-CN" w:bidi="ar-SA"/>
              </w:rPr>
              <w:t>生产使用区设置防渗、防流失措施，不会溢流出</w:t>
            </w:r>
            <w:r>
              <w:rPr>
                <w:rFonts w:hint="eastAsia"/>
                <w:color w:val="auto"/>
                <w:kern w:val="2"/>
                <w:sz w:val="24"/>
                <w:szCs w:val="24"/>
                <w:highlight w:val="none"/>
                <w:lang w:val="en-US" w:eastAsia="zh-CN" w:bidi="ar-SA"/>
              </w:rPr>
              <w:t>储存区、</w:t>
            </w:r>
            <w:r>
              <w:rPr>
                <w:rFonts w:hint="default" w:ascii="Times New Roman" w:hAnsi="Times New Roman" w:eastAsia="宋体"/>
                <w:color w:val="auto"/>
                <w:kern w:val="2"/>
                <w:sz w:val="24"/>
                <w:szCs w:val="24"/>
                <w:highlight w:val="none"/>
                <w:lang w:val="en-US" w:eastAsia="zh-CN" w:bidi="ar-SA"/>
              </w:rPr>
              <w:t>生产使用区，不会对外界环境产生影响。风险物质在厂区运输过程泄漏，泄漏量较小，能够将泄漏物围堵在厂区范围内，基本不会对外部水环境产生影响</w:t>
            </w:r>
            <w:r>
              <w:rPr>
                <w:rFonts w:hint="eastAsia" w:eastAsia="宋体"/>
                <w:color w:val="auto"/>
                <w:highlight w:val="none"/>
                <w:lang w:val="en-US" w:eastAsia="zh-CN"/>
              </w:rPr>
              <w:t>。</w:t>
            </w:r>
          </w:p>
          <w:p>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火灾本身是安全事故，但会产生消防废水，最坏情景是消防废水未控制住溢漏出厂外，本项目泄漏量小，对环境影响不大。</w:t>
            </w:r>
          </w:p>
          <w:p>
            <w:pPr>
              <w:bidi w:val="0"/>
              <w:rPr>
                <w:rFonts w:hint="default" w:eastAsia="宋体"/>
                <w:color w:val="auto"/>
                <w:sz w:val="24"/>
                <w:szCs w:val="24"/>
                <w:highlight w:val="none"/>
                <w:lang w:val="en-US" w:eastAsia="zh-CN"/>
              </w:rPr>
            </w:pPr>
            <w:r>
              <w:rPr>
                <w:rFonts w:hint="eastAsia"/>
                <w:b/>
                <w:bCs/>
                <w:color w:val="auto"/>
                <w:sz w:val="24"/>
                <w:szCs w:val="24"/>
                <w:highlight w:val="none"/>
                <w:lang w:val="en-US" w:eastAsia="zh-CN"/>
              </w:rPr>
              <w:t>7.4环境风险防范措施及应急措施</w:t>
            </w:r>
          </w:p>
          <w:p>
            <w:pPr>
              <w:pStyle w:val="44"/>
              <w:keepNext w:val="0"/>
              <w:keepLines w:val="0"/>
              <w:suppressLineNumbers w:val="0"/>
              <w:spacing w:before="0" w:beforeAutospacing="0" w:after="0" w:afterAutospacing="0"/>
              <w:ind w:left="0" w:right="0" w:firstLine="480"/>
              <w:rPr>
                <w:rFonts w:hint="eastAsia"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（1）风险防范措施</w:t>
            </w:r>
          </w:p>
          <w:p>
            <w:pPr>
              <w:pStyle w:val="4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企业储存的润滑油、异氰酸酯密闭桶装储存于危险品储存区，废润滑油桶装加盖，储存于危废间，</w:t>
            </w:r>
            <w:r>
              <w:rPr>
                <w:rFonts w:hint="eastAsia" w:ascii="Times New Roman" w:hAnsi="Times New Roman" w:eastAsia="宋体" w:cs="Times New Roman"/>
                <w:color w:val="auto"/>
                <w:sz w:val="24"/>
                <w:szCs w:val="21"/>
                <w:highlight w:val="none"/>
                <w:shd w:val="clear" w:color="auto" w:fill="auto"/>
                <w:lang w:val="en-US" w:eastAsia="zh-CN"/>
              </w:rPr>
              <w:t>使用</w:t>
            </w:r>
            <w:r>
              <w:rPr>
                <w:rFonts w:hint="eastAsia" w:eastAsia="宋体" w:cs="Times New Roman"/>
                <w:color w:val="auto"/>
                <w:sz w:val="24"/>
                <w:szCs w:val="21"/>
                <w:highlight w:val="none"/>
                <w:shd w:val="clear" w:color="auto" w:fill="auto"/>
                <w:lang w:val="en-US" w:eastAsia="zh-CN"/>
              </w:rPr>
              <w:t>润滑</w:t>
            </w:r>
            <w:r>
              <w:rPr>
                <w:rFonts w:hint="eastAsia" w:ascii="Times New Roman" w:hAnsi="Times New Roman" w:eastAsia="宋体" w:cs="Times New Roman"/>
                <w:color w:val="auto"/>
                <w:sz w:val="24"/>
                <w:szCs w:val="21"/>
                <w:highlight w:val="none"/>
                <w:shd w:val="clear" w:color="auto" w:fill="auto"/>
                <w:lang w:val="en-US" w:eastAsia="zh-CN"/>
              </w:rPr>
              <w:t>油</w:t>
            </w:r>
            <w:r>
              <w:rPr>
                <w:rFonts w:hint="eastAsia" w:eastAsia="宋体" w:cs="Times New Roman"/>
                <w:color w:val="auto"/>
                <w:sz w:val="24"/>
                <w:szCs w:val="21"/>
                <w:highlight w:val="none"/>
                <w:shd w:val="clear" w:color="auto" w:fill="auto"/>
                <w:lang w:val="en-US" w:eastAsia="zh-CN"/>
              </w:rPr>
              <w:t>维护保养</w:t>
            </w:r>
            <w:r>
              <w:rPr>
                <w:rFonts w:hint="eastAsia" w:ascii="Times New Roman" w:hAnsi="Times New Roman" w:eastAsia="宋体" w:cs="Times New Roman"/>
                <w:color w:val="auto"/>
                <w:sz w:val="24"/>
                <w:szCs w:val="21"/>
                <w:highlight w:val="none"/>
                <w:shd w:val="clear" w:color="auto" w:fill="auto"/>
                <w:lang w:val="en-US" w:eastAsia="zh-CN"/>
              </w:rPr>
              <w:t>的</w:t>
            </w:r>
            <w:r>
              <w:rPr>
                <w:rFonts w:hint="eastAsia" w:ascii="Times New Roman" w:hAnsi="Times New Roman" w:eastAsia="宋体" w:cs="Times New Roman"/>
                <w:color w:val="auto"/>
                <w:sz w:val="24"/>
                <w:szCs w:val="21"/>
                <w:highlight w:val="none"/>
                <w:shd w:val="clear" w:color="auto" w:fill="auto"/>
                <w:lang w:eastAsia="zh-CN"/>
              </w:rPr>
              <w:t>设备下设托盘</w:t>
            </w:r>
            <w:r>
              <w:rPr>
                <w:rFonts w:hint="eastAsia" w:eastAsia="宋体"/>
                <w:color w:val="auto"/>
                <w:kern w:val="2"/>
                <w:sz w:val="24"/>
                <w:szCs w:val="24"/>
                <w:highlight w:val="none"/>
                <w:lang w:val="en-US" w:eastAsia="zh-CN" w:bidi="ar-SA"/>
              </w:rPr>
              <w:t>，并</w:t>
            </w:r>
            <w:r>
              <w:rPr>
                <w:rFonts w:hint="default" w:ascii="Times New Roman" w:hAnsi="Times New Roman" w:eastAsia="宋体"/>
                <w:color w:val="auto"/>
                <w:kern w:val="2"/>
                <w:sz w:val="24"/>
                <w:szCs w:val="24"/>
                <w:highlight w:val="none"/>
                <w:lang w:val="en-US" w:eastAsia="zh-CN" w:bidi="ar-SA"/>
              </w:rPr>
              <w:t>配备相应的设备和抢险设施</w:t>
            </w:r>
            <w:r>
              <w:rPr>
                <w:rFonts w:hint="eastAsia"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风险物质</w:t>
            </w:r>
            <w:r>
              <w:rPr>
                <w:rFonts w:hint="eastAsia" w:eastAsia="宋体"/>
                <w:color w:val="auto"/>
                <w:kern w:val="2"/>
                <w:sz w:val="24"/>
                <w:szCs w:val="24"/>
                <w:highlight w:val="none"/>
                <w:lang w:val="en-US" w:eastAsia="zh-CN" w:bidi="ar-SA"/>
              </w:rPr>
              <w:t>使用</w:t>
            </w:r>
            <w:r>
              <w:rPr>
                <w:rFonts w:hint="default" w:ascii="Times New Roman" w:hAnsi="Times New Roman" w:eastAsia="宋体"/>
                <w:color w:val="auto"/>
                <w:kern w:val="2"/>
                <w:sz w:val="24"/>
                <w:szCs w:val="24"/>
                <w:highlight w:val="none"/>
                <w:lang w:val="en-US" w:eastAsia="zh-CN" w:bidi="ar-SA"/>
              </w:rPr>
              <w:t>区有防扬散、防流失、防渗漏等防治措施并参照国家标准《危险废物贮存污染控制标准》</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GB</w:t>
            </w:r>
            <w:r>
              <w:rPr>
                <w:rFonts w:hint="eastAsia" w:ascii="Times New Roman" w:hAnsi="Times New Roman" w:eastAsia="宋体"/>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bidi="ar-SA"/>
              </w:rPr>
              <w:t>18597-20</w:t>
            </w:r>
            <w:r>
              <w:rPr>
                <w:rFonts w:hint="eastAsia" w:eastAsia="宋体"/>
                <w:color w:val="auto"/>
                <w:kern w:val="2"/>
                <w:sz w:val="24"/>
                <w:szCs w:val="24"/>
                <w:highlight w:val="none"/>
                <w:lang w:val="en-US" w:eastAsia="zh-CN" w:bidi="ar-SA"/>
              </w:rPr>
              <w:t>23</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和《危险废物收集贮存运输技术规范》</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HJ</w:t>
            </w:r>
            <w:r>
              <w:rPr>
                <w:rFonts w:hint="eastAsia" w:ascii="Times New Roman" w:hAnsi="Times New Roman" w:eastAsia="宋体"/>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bidi="ar-SA"/>
              </w:rPr>
              <w:t>2025-2012</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的要求进行设计。门口设置围挡或斜坡，如果发生泄漏事故，确保风险物质不会溢流出上述区域，避免对水环境、土壤和大气环境造成影响。</w:t>
            </w:r>
          </w:p>
          <w:p>
            <w:pPr>
              <w:bidi w:val="0"/>
              <w:rPr>
                <w:rFonts w:hint="default"/>
                <w:color w:val="auto"/>
                <w:highlight w:val="none"/>
                <w:lang w:val="en-US" w:eastAsia="zh-CN"/>
              </w:rPr>
            </w:pPr>
            <w:r>
              <w:rPr>
                <w:rFonts w:hint="default"/>
                <w:color w:val="auto"/>
                <w:highlight w:val="none"/>
                <w:lang w:val="en-US" w:eastAsia="zh-CN"/>
              </w:rPr>
              <w:t>当发生事故时，为不使事故扩大，防止二次灾害的发生，要求及时抢险抢修，必须对各种险情进行事故前预测，保证抢险队伍的素质，遇险时应及时与当地消防部门取得联系，以获得有力支持。</w:t>
            </w:r>
          </w:p>
          <w:p>
            <w:pPr>
              <w:bidi w:val="0"/>
              <w:rPr>
                <w:rFonts w:hint="default"/>
                <w:color w:val="auto"/>
                <w:highlight w:val="none"/>
                <w:lang w:val="en-US" w:eastAsia="zh-CN"/>
              </w:rPr>
            </w:pPr>
            <w:r>
              <w:rPr>
                <w:rFonts w:hint="default"/>
                <w:color w:val="auto"/>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pPr>
              <w:bidi w:val="0"/>
              <w:rPr>
                <w:rFonts w:hint="default"/>
                <w:color w:val="auto"/>
                <w:highlight w:val="none"/>
                <w:lang w:val="en-US" w:eastAsia="zh-CN"/>
              </w:rPr>
            </w:pPr>
            <w:r>
              <w:rPr>
                <w:rFonts w:hint="default"/>
                <w:color w:val="auto"/>
                <w:highlight w:val="none"/>
                <w:lang w:val="en-US" w:eastAsia="zh-CN"/>
              </w:rPr>
              <w:t>企业应建立健全防范制度，加强监督管理，规范操作，这类事故发生的概率处于可接受范围内。</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应急措施</w:t>
            </w:r>
          </w:p>
          <w:p>
            <w:pPr>
              <w:bidi w:val="0"/>
              <w:rPr>
                <w:rFonts w:hint="default"/>
                <w:color w:val="auto"/>
                <w:highlight w:val="none"/>
                <w:lang w:val="en-US" w:eastAsia="zh-CN"/>
              </w:rPr>
            </w:pPr>
            <w:r>
              <w:rPr>
                <w:rFonts w:hint="eastAsia"/>
                <w:color w:val="auto"/>
                <w:highlight w:val="none"/>
                <w:lang w:val="en-US" w:eastAsia="zh-CN"/>
              </w:rPr>
              <w:t>润滑油、废润滑油、异氰酸酯</w:t>
            </w:r>
            <w:r>
              <w:rPr>
                <w:rFonts w:hint="default"/>
                <w:color w:val="auto"/>
                <w:highlight w:val="none"/>
                <w:lang w:val="en-US" w:eastAsia="zh-CN"/>
              </w:rPr>
              <w:t>发生</w:t>
            </w:r>
            <w:r>
              <w:rPr>
                <w:rFonts w:hint="eastAsia"/>
                <w:color w:val="auto"/>
                <w:highlight w:val="none"/>
                <w:lang w:val="en-US" w:eastAsia="zh-CN"/>
              </w:rPr>
              <w:t>泄漏</w:t>
            </w:r>
            <w:r>
              <w:rPr>
                <w:rFonts w:hint="default"/>
                <w:color w:val="auto"/>
                <w:highlight w:val="none"/>
                <w:lang w:val="en-US" w:eastAsia="zh-CN"/>
              </w:rPr>
              <w:t>，通过工作人员或视频监控人员预警，根据现场情况将沙土</w:t>
            </w:r>
            <w:r>
              <w:rPr>
                <w:rFonts w:hint="eastAsia"/>
                <w:color w:val="auto"/>
                <w:highlight w:val="none"/>
                <w:lang w:val="en-US" w:eastAsia="zh-CN"/>
              </w:rPr>
              <w:t>、</w:t>
            </w:r>
            <w:r>
              <w:rPr>
                <w:rFonts w:hint="default"/>
                <w:color w:val="auto"/>
                <w:highlight w:val="none"/>
                <w:lang w:val="en-US" w:eastAsia="zh-CN"/>
              </w:rPr>
              <w:t>沙袋等运至</w:t>
            </w:r>
            <w:r>
              <w:rPr>
                <w:rFonts w:hint="eastAsia"/>
                <w:color w:val="auto"/>
                <w:highlight w:val="none"/>
                <w:lang w:val="en-US" w:eastAsia="zh-CN"/>
              </w:rPr>
              <w:t>事</w:t>
            </w:r>
            <w:r>
              <w:rPr>
                <w:rFonts w:hint="default"/>
                <w:color w:val="auto"/>
                <w:highlight w:val="none"/>
                <w:lang w:val="en-US" w:eastAsia="zh-CN"/>
              </w:rPr>
              <w:t>发现场进行现场环境应急处置，利用沙袋先进行溢流的围堵，避免污染面积扩散，用吸附材料吸收泄漏液体，然后移至安全地区，能够有效防止事故扩大。当风险物质泄漏至雨水管网时，应急组对厂区雨水排口进行封堵，防止泄漏物泄漏</w:t>
            </w:r>
            <w:r>
              <w:rPr>
                <w:rFonts w:hint="eastAsia"/>
                <w:color w:val="auto"/>
                <w:highlight w:val="none"/>
                <w:lang w:val="en-US" w:eastAsia="zh-CN"/>
              </w:rPr>
              <w:t>至</w:t>
            </w:r>
            <w:r>
              <w:rPr>
                <w:rFonts w:hint="default"/>
                <w:color w:val="auto"/>
                <w:highlight w:val="none"/>
                <w:lang w:val="en-US" w:eastAsia="zh-CN"/>
              </w:rPr>
              <w:t>厂区外。一旦泄漏</w:t>
            </w:r>
            <w:r>
              <w:rPr>
                <w:rFonts w:hint="eastAsia"/>
                <w:color w:val="auto"/>
                <w:highlight w:val="none"/>
                <w:lang w:val="en-US" w:eastAsia="zh-CN"/>
              </w:rPr>
              <w:t>至</w:t>
            </w:r>
            <w:r>
              <w:rPr>
                <w:rFonts w:hint="default"/>
                <w:color w:val="auto"/>
                <w:highlight w:val="none"/>
                <w:lang w:val="en-US" w:eastAsia="zh-CN"/>
              </w:rPr>
              <w:t>厂区外，企业应告知当地政府、生态环境局、环境保护监测站等进行处理。</w:t>
            </w:r>
          </w:p>
          <w:p>
            <w:pPr>
              <w:bidi w:val="0"/>
              <w:rPr>
                <w:rFonts w:hint="default"/>
                <w:color w:val="auto"/>
                <w:highlight w:val="none"/>
                <w:lang w:val="en-US" w:eastAsia="zh-CN"/>
              </w:rPr>
            </w:pPr>
            <w:r>
              <w:rPr>
                <w:rFonts w:hint="eastAsia"/>
                <w:color w:val="auto"/>
                <w:highlight w:val="none"/>
                <w:lang w:val="en-US" w:eastAsia="zh-CN"/>
              </w:rPr>
              <w:t>根据收集资料和调查可知，唐山烯彤科技有限公司的突发环境事件应急预案已于2021年01月21日完成备案，唐山市生态环境局高新技术产业开发区分局予以备案，备案编号为130262-2021-002-L。现有工程厂区内的环境风险防范措施及应急措施总体可行，建设单位应结合本项目存在的环境风险，新增的环境风险物质、储存情况、影响途径以及风险防范措施和应急措施对突发环境应急预案进行修编。</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8、电磁辐射</w:t>
            </w:r>
          </w:p>
          <w:p>
            <w:pPr>
              <w:rPr>
                <w:rFonts w:hint="default"/>
                <w:color w:val="auto"/>
                <w:highlight w:val="none"/>
                <w:lang w:val="en-US" w:eastAsia="zh-CN"/>
              </w:rPr>
            </w:pPr>
            <w:r>
              <w:rPr>
                <w:rFonts w:hint="default"/>
                <w:color w:val="auto"/>
                <w:highlight w:val="none"/>
                <w:lang w:val="en-US" w:eastAsia="zh-CN"/>
              </w:rPr>
              <w:t>本项目不涉及电磁辐射源，即不会对项目所在区环境产生相应的电磁辐射影响。</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tc>
      </w:tr>
    </w:tbl>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ascii="黑体" w:hAnsi="黑体" w:eastAsia="黑体"/>
          <w:snapToGrid w:val="0"/>
          <w:color w:val="auto"/>
          <w:sz w:val="24"/>
          <w:szCs w:val="24"/>
          <w:highlight w:val="none"/>
        </w:rPr>
      </w:pPr>
      <w:r>
        <w:rPr>
          <w:rFonts w:hint="eastAsia" w:ascii="黑体" w:hAnsi="黑体" w:eastAsia="黑体"/>
          <w:snapToGrid w:val="0"/>
          <w:color w:val="auto"/>
          <w:sz w:val="24"/>
          <w:szCs w:val="24"/>
          <w:highlight w:val="none"/>
        </w:rPr>
        <w:t>五、</w:t>
      </w:r>
      <w:bookmarkStart w:id="7" w:name="_Hlk54167917"/>
      <w:r>
        <w:rPr>
          <w:rFonts w:hint="eastAsia" w:ascii="黑体" w:hAnsi="黑体" w:eastAsia="黑体"/>
          <w:snapToGrid w:val="0"/>
          <w:color w:val="auto"/>
          <w:sz w:val="24"/>
          <w:szCs w:val="24"/>
          <w:highlight w:val="none"/>
        </w:rPr>
        <w:t>环境保护措施监督检查清单</w:t>
      </w:r>
      <w:bookmarkEnd w:id="7"/>
    </w:p>
    <w:tbl>
      <w:tblPr>
        <w:tblStyle w:val="24"/>
        <w:tblW w:w="97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549"/>
        <w:gridCol w:w="1159"/>
        <w:gridCol w:w="2817"/>
        <w:gridCol w:w="31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113" w:type="dxa"/>
            <w:tcBorders>
              <w:tl2br w:val="single" w:color="auto" w:sz="4" w:space="0"/>
            </w:tcBorders>
            <w:noWrap w:val="0"/>
            <w:vAlign w:val="top"/>
          </w:tcPr>
          <w:p>
            <w:pPr>
              <w:pStyle w:val="32"/>
              <w:bidi w:val="0"/>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内容</w:t>
            </w:r>
          </w:p>
          <w:p>
            <w:pPr>
              <w:pStyle w:val="32"/>
              <w:bidi w:val="0"/>
              <w:jc w:val="both"/>
              <w:rPr>
                <w:rFonts w:hint="eastAsia"/>
                <w:color w:val="auto"/>
                <w:sz w:val="24"/>
                <w:szCs w:val="24"/>
                <w:highlight w:val="none"/>
              </w:rPr>
            </w:pPr>
          </w:p>
          <w:p>
            <w:pPr>
              <w:pStyle w:val="32"/>
              <w:bidi w:val="0"/>
              <w:jc w:val="both"/>
              <w:rPr>
                <w:rFonts w:hint="eastAsia"/>
                <w:color w:val="auto"/>
                <w:sz w:val="24"/>
                <w:szCs w:val="24"/>
                <w:highlight w:val="none"/>
              </w:rPr>
            </w:pPr>
            <w:r>
              <w:rPr>
                <w:rFonts w:hint="eastAsia"/>
                <w:color w:val="auto"/>
                <w:sz w:val="24"/>
                <w:szCs w:val="24"/>
                <w:highlight w:val="none"/>
              </w:rPr>
              <w:t>要素</w:t>
            </w:r>
          </w:p>
        </w:tc>
        <w:tc>
          <w:tcPr>
            <w:tcW w:w="1549" w:type="dxa"/>
            <w:noWrap w:val="0"/>
            <w:vAlign w:val="center"/>
          </w:tcPr>
          <w:p>
            <w:pPr>
              <w:pStyle w:val="32"/>
              <w:bidi w:val="0"/>
              <w:rPr>
                <w:rFonts w:hint="eastAsia"/>
                <w:color w:val="auto"/>
                <w:sz w:val="24"/>
                <w:szCs w:val="24"/>
                <w:highlight w:val="none"/>
              </w:rPr>
            </w:pPr>
            <w:r>
              <w:rPr>
                <w:rFonts w:hint="eastAsia"/>
                <w:color w:val="auto"/>
                <w:sz w:val="24"/>
                <w:szCs w:val="24"/>
                <w:highlight w:val="none"/>
              </w:rPr>
              <w:t>排放口</w:t>
            </w:r>
            <w:r>
              <w:rPr>
                <w:rFonts w:hint="eastAsia"/>
                <w:color w:val="auto"/>
                <w:sz w:val="24"/>
                <w:szCs w:val="24"/>
                <w:highlight w:val="none"/>
                <w:lang w:eastAsia="zh-CN"/>
              </w:rPr>
              <w:t>（</w:t>
            </w:r>
            <w:r>
              <w:rPr>
                <w:rFonts w:hint="eastAsia"/>
                <w:color w:val="auto"/>
                <w:sz w:val="24"/>
                <w:szCs w:val="24"/>
                <w:highlight w:val="none"/>
              </w:rPr>
              <w:t>编号、名称</w:t>
            </w:r>
            <w:r>
              <w:rPr>
                <w:rFonts w:hint="eastAsia"/>
                <w:color w:val="auto"/>
                <w:sz w:val="24"/>
                <w:szCs w:val="24"/>
                <w:highlight w:val="none"/>
                <w:lang w:eastAsia="zh-CN"/>
              </w:rPr>
              <w:t>）</w:t>
            </w:r>
            <w:r>
              <w:rPr>
                <w:rFonts w:hint="eastAsia"/>
                <w:color w:val="auto"/>
                <w:sz w:val="24"/>
                <w:szCs w:val="24"/>
                <w:highlight w:val="none"/>
              </w:rPr>
              <w:t>/污染源</w:t>
            </w:r>
          </w:p>
        </w:tc>
        <w:tc>
          <w:tcPr>
            <w:tcW w:w="1159" w:type="dxa"/>
            <w:noWrap w:val="0"/>
            <w:vAlign w:val="center"/>
          </w:tcPr>
          <w:p>
            <w:pPr>
              <w:pStyle w:val="32"/>
              <w:bidi w:val="0"/>
              <w:rPr>
                <w:rFonts w:hint="eastAsia"/>
                <w:color w:val="auto"/>
                <w:sz w:val="24"/>
                <w:szCs w:val="24"/>
                <w:highlight w:val="none"/>
              </w:rPr>
            </w:pPr>
            <w:r>
              <w:rPr>
                <w:rFonts w:hint="eastAsia"/>
                <w:color w:val="auto"/>
                <w:sz w:val="24"/>
                <w:szCs w:val="24"/>
                <w:highlight w:val="none"/>
              </w:rPr>
              <w:t>污染物项目</w:t>
            </w:r>
          </w:p>
        </w:tc>
        <w:tc>
          <w:tcPr>
            <w:tcW w:w="2817" w:type="dxa"/>
            <w:noWrap w:val="0"/>
            <w:vAlign w:val="center"/>
          </w:tcPr>
          <w:p>
            <w:pPr>
              <w:pStyle w:val="32"/>
              <w:bidi w:val="0"/>
              <w:rPr>
                <w:rFonts w:hint="eastAsia"/>
                <w:color w:val="auto"/>
                <w:sz w:val="24"/>
                <w:szCs w:val="24"/>
                <w:highlight w:val="none"/>
              </w:rPr>
            </w:pPr>
            <w:r>
              <w:rPr>
                <w:rFonts w:hint="eastAsia"/>
                <w:color w:val="auto"/>
                <w:sz w:val="24"/>
                <w:szCs w:val="24"/>
                <w:highlight w:val="none"/>
              </w:rPr>
              <w:t>环境保护措施</w:t>
            </w:r>
          </w:p>
        </w:tc>
        <w:tc>
          <w:tcPr>
            <w:tcW w:w="3110" w:type="dxa"/>
            <w:noWrap w:val="0"/>
            <w:vAlign w:val="center"/>
          </w:tcPr>
          <w:p>
            <w:pPr>
              <w:pStyle w:val="32"/>
              <w:bidi w:val="0"/>
              <w:rPr>
                <w:rFonts w:hint="eastAsia"/>
                <w:color w:val="auto"/>
                <w:sz w:val="24"/>
                <w:szCs w:val="24"/>
                <w:highlight w:val="none"/>
              </w:rPr>
            </w:pPr>
            <w:r>
              <w:rPr>
                <w:rFonts w:hint="eastAsia"/>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549"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电发热元件生产废气排放口（DA001）</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镀膜机采取封闭措施，并在设备上方设置引风管道，通过风机将废气引入1套三级串联的碱液喷淋塔</w:t>
            </w:r>
            <w:r>
              <w:rPr>
                <w:rFonts w:hint="eastAsia" w:cs="Times New Roman"/>
                <w:color w:val="auto"/>
                <w:kern w:val="2"/>
                <w:sz w:val="24"/>
                <w:szCs w:val="24"/>
                <w:highlight w:val="none"/>
                <w:lang w:val="en-US" w:eastAsia="zh-CN" w:bidi="ar-SA"/>
              </w:rPr>
              <w:t>（TA001）</w:t>
            </w:r>
            <w:r>
              <w:rPr>
                <w:rFonts w:hint="default" w:ascii="Times New Roman" w:hAnsi="Times New Roman" w:eastAsia="宋体" w:cs="Times New Roman"/>
                <w:color w:val="auto"/>
                <w:kern w:val="2"/>
                <w:sz w:val="24"/>
                <w:szCs w:val="24"/>
                <w:highlight w:val="none"/>
                <w:lang w:val="en-US" w:eastAsia="zh-CN" w:bidi="ar-SA"/>
              </w:rPr>
              <w:t>进行净化处理</w:t>
            </w:r>
            <w:r>
              <w:rPr>
                <w:rFonts w:hint="eastAsia" w:cs="Times New Roman"/>
                <w:color w:val="auto"/>
                <w:kern w:val="2"/>
                <w:sz w:val="24"/>
                <w:szCs w:val="24"/>
                <w:highlight w:val="none"/>
                <w:lang w:val="en-US" w:eastAsia="zh-CN" w:bidi="ar-SA"/>
              </w:rPr>
              <w:t>；烘</w:t>
            </w:r>
            <w:r>
              <w:rPr>
                <w:rFonts w:hint="default" w:ascii="Times New Roman" w:hAnsi="Times New Roman" w:eastAsia="宋体" w:cs="Times New Roman"/>
                <w:color w:val="auto"/>
                <w:kern w:val="2"/>
                <w:sz w:val="24"/>
                <w:szCs w:val="24"/>
                <w:highlight w:val="none"/>
                <w:lang w:val="en-US" w:eastAsia="zh-CN" w:bidi="ar-SA"/>
              </w:rPr>
              <w:t>干和烧结还原过程</w:t>
            </w:r>
            <w:r>
              <w:rPr>
                <w:rFonts w:hint="eastAsia" w:cs="Times New Roman"/>
                <w:color w:val="auto"/>
                <w:kern w:val="2"/>
                <w:sz w:val="24"/>
                <w:szCs w:val="24"/>
                <w:highlight w:val="none"/>
                <w:lang w:val="en-US" w:eastAsia="zh-CN" w:bidi="ar-SA"/>
              </w:rPr>
              <w:t>设备密闭</w:t>
            </w:r>
            <w:r>
              <w:rPr>
                <w:rFonts w:hint="default" w:ascii="Times New Roman" w:hAnsi="Times New Roman" w:eastAsia="宋体" w:cs="Times New Roman"/>
                <w:color w:val="auto"/>
                <w:kern w:val="2"/>
                <w:sz w:val="24"/>
                <w:szCs w:val="24"/>
                <w:highlight w:val="none"/>
                <w:lang w:val="en-US" w:eastAsia="zh-CN" w:bidi="ar-SA"/>
              </w:rPr>
              <w:t>，在各烘干</w:t>
            </w:r>
            <w:r>
              <w:rPr>
                <w:rFonts w:hint="eastAsia" w:cs="Times New Roman"/>
                <w:color w:val="auto"/>
                <w:kern w:val="2"/>
                <w:sz w:val="24"/>
                <w:szCs w:val="24"/>
                <w:highlight w:val="none"/>
                <w:lang w:val="en-US" w:eastAsia="zh-CN" w:bidi="ar-SA"/>
              </w:rPr>
              <w:t>炉</w:t>
            </w:r>
            <w:r>
              <w:rPr>
                <w:rFonts w:hint="default" w:ascii="Times New Roman" w:hAnsi="Times New Roman" w:eastAsia="宋体" w:cs="Times New Roman"/>
                <w:color w:val="auto"/>
                <w:kern w:val="2"/>
                <w:sz w:val="24"/>
                <w:szCs w:val="24"/>
                <w:highlight w:val="none"/>
                <w:lang w:val="en-US" w:eastAsia="zh-CN" w:bidi="ar-SA"/>
              </w:rPr>
              <w:t>和烧熔炉的出口上方设置集气罩</w:t>
            </w:r>
            <w:r>
              <w:rPr>
                <w:rFonts w:hint="eastAsia" w:cs="Times New Roman"/>
                <w:color w:val="auto"/>
                <w:kern w:val="2"/>
                <w:sz w:val="24"/>
                <w:szCs w:val="24"/>
                <w:highlight w:val="none"/>
                <w:lang w:val="en-US" w:eastAsia="zh-CN" w:bidi="ar-SA"/>
              </w:rPr>
              <w:t>；覆膜印刷机、覆膜烘干机封闭，在设备上方设置集气管道；自动覆膜机上方设置集气罩，采用风量为15000m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/h的</w:t>
            </w:r>
            <w:r>
              <w:rPr>
                <w:rFonts w:hint="default" w:ascii="Times New Roman" w:hAnsi="Times New Roman" w:eastAsia="宋体" w:cs="Times New Roman"/>
                <w:color w:val="auto"/>
                <w:kern w:val="2"/>
                <w:sz w:val="24"/>
                <w:szCs w:val="24"/>
                <w:highlight w:val="none"/>
                <w:lang w:val="en-US" w:eastAsia="zh-CN" w:bidi="ar-SA"/>
              </w:rPr>
              <w:t>风机将</w:t>
            </w:r>
            <w:r>
              <w:rPr>
                <w:rFonts w:hint="eastAsia" w:cs="Times New Roman"/>
                <w:color w:val="auto"/>
                <w:kern w:val="2"/>
                <w:sz w:val="24"/>
                <w:szCs w:val="24"/>
                <w:highlight w:val="none"/>
                <w:lang w:val="en-US" w:eastAsia="zh-CN" w:bidi="ar-SA"/>
              </w:rPr>
              <w:t>印刷、印刷烘干、覆膜、烘干及烧结还原过程产生的废气</w:t>
            </w:r>
            <w:r>
              <w:rPr>
                <w:rFonts w:hint="default" w:ascii="Times New Roman" w:hAnsi="Times New Roman" w:eastAsia="宋体" w:cs="Times New Roman"/>
                <w:color w:val="auto"/>
                <w:kern w:val="2"/>
                <w:sz w:val="24"/>
                <w:szCs w:val="24"/>
                <w:highlight w:val="none"/>
                <w:lang w:val="en-US" w:eastAsia="zh-CN" w:bidi="ar-SA"/>
              </w:rPr>
              <w:t>引入1套</w:t>
            </w:r>
            <w:r>
              <w:rPr>
                <w:rFonts w:hint="eastAsia" w:cs="Times New Roman"/>
                <w:color w:val="auto"/>
                <w:kern w:val="2"/>
                <w:sz w:val="24"/>
                <w:szCs w:val="24"/>
                <w:highlight w:val="none"/>
                <w:lang w:val="en-US" w:eastAsia="zh-CN" w:bidi="ar-SA"/>
              </w:rPr>
              <w:t>两级</w:t>
            </w:r>
            <w:r>
              <w:rPr>
                <w:rFonts w:hint="default" w:ascii="Times New Roman" w:hAnsi="Times New Roman" w:eastAsia="宋体" w:cs="Times New Roman"/>
                <w:color w:val="auto"/>
                <w:kern w:val="2"/>
                <w:sz w:val="24"/>
                <w:szCs w:val="24"/>
                <w:highlight w:val="none"/>
                <w:lang w:val="en-US" w:eastAsia="zh-CN" w:bidi="ar-SA"/>
              </w:rPr>
              <w:t>活性炭吸附装置</w:t>
            </w:r>
            <w:r>
              <w:rPr>
                <w:rFonts w:hint="eastAsia" w:cs="Times New Roman"/>
                <w:color w:val="auto"/>
                <w:kern w:val="2"/>
                <w:sz w:val="24"/>
                <w:szCs w:val="24"/>
                <w:highlight w:val="none"/>
                <w:lang w:val="en-US" w:eastAsia="zh-CN" w:bidi="ar-SA"/>
              </w:rPr>
              <w:t>（TA002）</w:t>
            </w:r>
            <w:r>
              <w:rPr>
                <w:rFonts w:hint="default" w:ascii="Times New Roman" w:hAnsi="Times New Roman" w:eastAsia="宋体" w:cs="Times New Roman"/>
                <w:color w:val="auto"/>
                <w:kern w:val="2"/>
                <w:sz w:val="24"/>
                <w:szCs w:val="24"/>
                <w:highlight w:val="none"/>
                <w:lang w:val="en-US" w:eastAsia="zh-CN" w:bidi="ar-SA"/>
              </w:rPr>
              <w:t>进行净化处理</w:t>
            </w:r>
            <w:r>
              <w:rPr>
                <w:rFonts w:hint="eastAsia" w:ascii="Times New Roman" w:hAnsi="Times New Roman"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经TA001、TA002处理的废气</w:t>
            </w:r>
            <w:r>
              <w:rPr>
                <w:rFonts w:hint="eastAsia" w:ascii="Times New Roman" w:hAnsi="Times New Roman" w:cs="Times New Roman"/>
                <w:color w:val="auto"/>
                <w:kern w:val="2"/>
                <w:sz w:val="24"/>
                <w:szCs w:val="24"/>
                <w:highlight w:val="none"/>
                <w:lang w:val="en-US" w:eastAsia="zh-CN" w:bidi="ar-SA"/>
              </w:rPr>
              <w:t>一起通过1根30m高排气筒</w:t>
            </w:r>
            <w:r>
              <w:rPr>
                <w:rFonts w:hint="eastAsia" w:cs="Times New Roman"/>
                <w:color w:val="auto"/>
                <w:kern w:val="2"/>
                <w:sz w:val="24"/>
                <w:szCs w:val="24"/>
                <w:highlight w:val="none"/>
                <w:lang w:val="en-US" w:eastAsia="zh-CN" w:bidi="ar-SA"/>
              </w:rPr>
              <w:t>（DA001）</w:t>
            </w:r>
            <w:r>
              <w:rPr>
                <w:rFonts w:hint="eastAsia" w:ascii="Times New Roman" w:hAnsi="Times New Roman" w:cs="Times New Roman"/>
                <w:color w:val="auto"/>
                <w:kern w:val="2"/>
                <w:sz w:val="24"/>
                <w:szCs w:val="24"/>
                <w:highlight w:val="none"/>
                <w:lang w:val="en-US" w:eastAsia="zh-CN" w:bidi="ar-SA"/>
              </w:rPr>
              <w:t>排放至大气中</w:t>
            </w:r>
          </w:p>
        </w:tc>
        <w:tc>
          <w:tcPr>
            <w:tcW w:w="3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4"/>
                <w:szCs w:val="24"/>
                <w:highlight w:val="none"/>
              </w:rPr>
            </w:pPr>
            <w:r>
              <w:rPr>
                <w:rFonts w:hint="eastAsia"/>
                <w:b w:val="0"/>
                <w:bCs w:val="0"/>
                <w:color w:val="auto"/>
                <w:sz w:val="24"/>
                <w:szCs w:val="24"/>
                <w:highlight w:val="none"/>
                <w:lang w:val="en-US" w:eastAsia="zh-CN"/>
              </w:rPr>
              <w:t>工业企业挥发性有机物排放控制标准》（DB13 2322-2016）表1中其他行业最高允许排放浓度：非甲烷总烃80mg/m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vertAlign w:val="baseline"/>
                <w:lang w:val="en-US" w:eastAsia="zh-CN"/>
              </w:rPr>
              <w:t>，同时执行企业承诺限值：非甲烷总烃排放浓度不高于50mg/m</w:t>
            </w:r>
            <w:r>
              <w:rPr>
                <w:rFonts w:hint="eastAsia"/>
                <w:b w:val="0"/>
                <w:bCs w:val="0"/>
                <w:color w:val="auto"/>
                <w:sz w:val="24"/>
                <w:szCs w:val="24"/>
                <w:highlight w:val="none"/>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rPr>
            </w:pPr>
          </w:p>
        </w:tc>
        <w:tc>
          <w:tcPr>
            <w:tcW w:w="154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rPr>
            </w:pP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氯化氢</w:t>
            </w:r>
          </w:p>
        </w:tc>
        <w:tc>
          <w:tcPr>
            <w:tcW w:w="281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r>
              <w:rPr>
                <w:rFonts w:hint="eastAsia"/>
                <w:color w:val="auto"/>
                <w:sz w:val="24"/>
                <w:szCs w:val="24"/>
                <w:lang w:val="en-US" w:eastAsia="zh-CN"/>
              </w:rPr>
              <w:t>《大气污染物综合排放标准》（GB16297-1996）中相关限值：氯化物最高允许排放浓度100mg/m</w:t>
            </w:r>
            <w:r>
              <w:rPr>
                <w:rFonts w:hint="eastAsia"/>
                <w:color w:val="auto"/>
                <w:sz w:val="24"/>
                <w:szCs w:val="24"/>
                <w:vertAlign w:val="superscript"/>
                <w:lang w:val="en-US" w:eastAsia="zh-CN"/>
              </w:rPr>
              <w:t>3</w:t>
            </w:r>
            <w:r>
              <w:rPr>
                <w:rFonts w:hint="eastAsia"/>
                <w:color w:val="auto"/>
                <w:sz w:val="24"/>
                <w:szCs w:val="24"/>
                <w:lang w:val="en-US" w:eastAsia="zh-CN"/>
              </w:rPr>
              <w:t>，最高允许排放速率1.4kg/h，氯化氢排放浓度不高于10mg/m</w:t>
            </w:r>
            <w:r>
              <w:rPr>
                <w:rFonts w:hint="eastAsia"/>
                <w:color w:val="auto"/>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154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氟化物</w:t>
            </w:r>
          </w:p>
        </w:tc>
        <w:tc>
          <w:tcPr>
            <w:tcW w:w="281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r>
              <w:rPr>
                <w:rFonts w:hint="eastAsia"/>
                <w:color w:val="auto"/>
                <w:sz w:val="24"/>
                <w:szCs w:val="24"/>
                <w:lang w:val="en-US" w:eastAsia="zh-CN"/>
              </w:rPr>
              <w:t>《大气污染物综合排放标准》（GB16297-1996）中相关限值：氟化物最高允许排放浓度9.0mg/m</w:t>
            </w:r>
            <w:r>
              <w:rPr>
                <w:rFonts w:hint="eastAsia"/>
                <w:color w:val="auto"/>
                <w:sz w:val="24"/>
                <w:szCs w:val="24"/>
                <w:vertAlign w:val="superscript"/>
                <w:lang w:val="en-US" w:eastAsia="zh-CN"/>
              </w:rPr>
              <w:t>3</w:t>
            </w:r>
            <w:r>
              <w:rPr>
                <w:rFonts w:hint="eastAsia"/>
                <w:color w:val="auto"/>
                <w:sz w:val="24"/>
                <w:szCs w:val="24"/>
                <w:lang w:val="en-US" w:eastAsia="zh-CN"/>
              </w:rPr>
              <w:t>，最高允许排放速率0.59kg/h，</w:t>
            </w:r>
            <w:r>
              <w:rPr>
                <w:rFonts w:hint="eastAsia"/>
                <w:b w:val="0"/>
                <w:bCs w:val="0"/>
                <w:color w:val="auto"/>
                <w:sz w:val="24"/>
                <w:szCs w:val="24"/>
                <w:highlight w:val="none"/>
                <w:vertAlign w:val="baseline"/>
                <w:lang w:val="en-US" w:eastAsia="zh-CN"/>
              </w:rPr>
              <w:t>同时执行企业承诺限值：氟化物排放浓度不高于3mg/m</w:t>
            </w:r>
            <w:r>
              <w:rPr>
                <w:rFonts w:hint="eastAsia"/>
                <w:b w:val="0"/>
                <w:bCs w:val="0"/>
                <w:color w:val="auto"/>
                <w:sz w:val="24"/>
                <w:szCs w:val="24"/>
                <w:highlight w:val="none"/>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color w:val="auto"/>
                <w:sz w:val="24"/>
                <w:szCs w:val="24"/>
                <w:highlight w:val="none"/>
                <w:lang w:val="en-US" w:eastAsia="zh-CN"/>
              </w:rPr>
            </w:pPr>
          </w:p>
        </w:tc>
        <w:tc>
          <w:tcPr>
            <w:tcW w:w="154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s="Times New Roman"/>
                <w:bCs/>
                <w:caps w:val="0"/>
                <w:color w:val="auto"/>
                <w:spacing w:val="0"/>
                <w:position w:val="0"/>
                <w:sz w:val="24"/>
                <w:szCs w:val="24"/>
                <w:highlight w:val="none"/>
                <w:lang w:val="en-US" w:eastAsia="zh-CN"/>
              </w:rPr>
              <w:t>印刷、印刷烘干、覆膜过程和烘干及烧结还原过程未捕集废气</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车间内无组织排放</w:t>
            </w:r>
          </w:p>
        </w:tc>
        <w:tc>
          <w:tcPr>
            <w:tcW w:w="3110"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eastAsia="宋体"/>
                <w:color w:val="auto"/>
                <w:sz w:val="24"/>
                <w:szCs w:val="24"/>
                <w:vertAlign w:val="baseline"/>
                <w:lang w:val="en-US" w:eastAsia="zh-CN"/>
              </w:rPr>
            </w:pPr>
            <w:r>
              <w:rPr>
                <w:color w:val="auto"/>
                <w:sz w:val="24"/>
                <w:szCs w:val="24"/>
                <w:highlight w:val="none"/>
              </w:rPr>
              <w:t>《工业企业挥发性有机物排放控制标准》（DB13/2322-2016）</w:t>
            </w:r>
            <w:r>
              <w:rPr>
                <w:rFonts w:hint="eastAsia"/>
                <w:color w:val="auto"/>
                <w:sz w:val="24"/>
                <w:szCs w:val="24"/>
                <w:highlight w:val="none"/>
              </w:rPr>
              <w:t>表</w:t>
            </w:r>
            <w:r>
              <w:rPr>
                <w:color w:val="auto"/>
                <w:sz w:val="24"/>
                <w:szCs w:val="24"/>
                <w:highlight w:val="none"/>
              </w:rPr>
              <w:t>2</w:t>
            </w:r>
            <w:r>
              <w:rPr>
                <w:rFonts w:hint="eastAsia"/>
                <w:color w:val="auto"/>
                <w:sz w:val="24"/>
                <w:szCs w:val="24"/>
                <w:highlight w:val="none"/>
              </w:rPr>
              <w:t>企业边界大气污染物浓度限值中其他企业：非甲烷总烃</w:t>
            </w:r>
            <w:r>
              <w:rPr>
                <w:color w:val="auto"/>
                <w:sz w:val="24"/>
                <w:szCs w:val="24"/>
                <w:highlight w:val="none"/>
              </w:rPr>
              <w:t>2.0mg/m</w:t>
            </w:r>
            <w:r>
              <w:rPr>
                <w:color w:val="auto"/>
                <w:sz w:val="24"/>
                <w:szCs w:val="24"/>
                <w:highlight w:val="none"/>
                <w:vertAlign w:val="superscript"/>
              </w:rPr>
              <w:t>3</w:t>
            </w:r>
            <w:r>
              <w:rPr>
                <w:rFonts w:hint="eastAsia"/>
                <w:color w:val="auto"/>
                <w:sz w:val="24"/>
                <w:szCs w:val="24"/>
                <w:highlight w:val="none"/>
                <w:vertAlign w:val="baseline"/>
                <w:lang w:eastAsia="zh-CN"/>
              </w:rPr>
              <w:t>；</w:t>
            </w:r>
            <w:r>
              <w:rPr>
                <w:rFonts w:hint="eastAsia"/>
                <w:color w:val="auto"/>
                <w:sz w:val="24"/>
                <w:szCs w:val="24"/>
                <w:lang w:val="en-US" w:eastAsia="zh-CN"/>
              </w:rPr>
              <w:t>《挥发性有机物无组织排放控制标准》（GB37822-2019）附录A表A.1厂区内VOCs无组织排放限值中厂房外监控点1h平均浓度限值：非甲烷总烃6mg/m</w:t>
            </w:r>
            <w:r>
              <w:rPr>
                <w:rFonts w:hint="eastAsia"/>
                <w:color w:val="auto"/>
                <w:sz w:val="24"/>
                <w:szCs w:val="24"/>
                <w:vertAlign w:val="superscript"/>
                <w:lang w:val="en-US" w:eastAsia="zh-CN"/>
              </w:rPr>
              <w:t>3</w:t>
            </w:r>
            <w:r>
              <w:rPr>
                <w:rFonts w:hint="eastAsia"/>
                <w:color w:val="auto"/>
                <w:sz w:val="24"/>
                <w:szCs w:val="24"/>
                <w:lang w:val="en-US" w:eastAsia="zh-CN"/>
              </w:rPr>
              <w:t>，任意一次浓度限值：非甲烷总烃20mg/m</w:t>
            </w:r>
            <w:r>
              <w:rPr>
                <w:rFonts w:hint="eastAsia"/>
                <w:color w:val="auto"/>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highlight w:val="none"/>
              </w:rPr>
            </w:pPr>
          </w:p>
        </w:tc>
        <w:tc>
          <w:tcPr>
            <w:tcW w:w="154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4"/>
                <w:szCs w:val="24"/>
                <w:highlight w:val="none"/>
                <w:lang w:val="en-US" w:eastAsia="zh-CN"/>
              </w:rPr>
            </w:pPr>
            <w:r>
              <w:rPr>
                <w:rFonts w:hint="default"/>
                <w:color w:val="auto"/>
                <w:sz w:val="24"/>
                <w:szCs w:val="24"/>
                <w:highlight w:val="none"/>
                <w:lang w:val="en-US" w:eastAsia="zh-CN"/>
              </w:rPr>
              <w:t>导电浆料混合分散</w:t>
            </w:r>
            <w:r>
              <w:rPr>
                <w:rFonts w:hint="eastAsia"/>
                <w:color w:val="auto"/>
                <w:sz w:val="24"/>
                <w:szCs w:val="24"/>
                <w:highlight w:val="none"/>
                <w:lang w:val="en-US" w:eastAsia="zh-CN"/>
              </w:rPr>
              <w:t>过程</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p>
        </w:tc>
        <w:tc>
          <w:tcPr>
            <w:tcW w:w="3110"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vertAlign w:val="baseli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13" w:type="dxa"/>
            <w:vMerge w:val="restart"/>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color w:val="auto"/>
                <w:sz w:val="24"/>
                <w:szCs w:val="24"/>
                <w:highlight w:val="none"/>
              </w:rPr>
            </w:pPr>
          </w:p>
        </w:tc>
        <w:tc>
          <w:tcPr>
            <w:tcW w:w="15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PVC膜封边过程</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非甲烷总烃</w:t>
            </w:r>
          </w:p>
        </w:tc>
        <w:tc>
          <w:tcPr>
            <w:tcW w:w="281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b w:val="0"/>
                <w:bCs w:val="0"/>
                <w:color w:val="auto"/>
                <w:sz w:val="24"/>
                <w:szCs w:val="24"/>
                <w:highlight w:val="none"/>
                <w:lang w:val="en-US" w:eastAsia="zh-CN"/>
              </w:rPr>
            </w:pPr>
          </w:p>
        </w:tc>
        <w:tc>
          <w:tcPr>
            <w:tcW w:w="3110"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b w:val="0"/>
                <w:bCs w:val="0"/>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113"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color w:val="auto"/>
                <w:sz w:val="24"/>
                <w:szCs w:val="24"/>
              </w:rPr>
            </w:pPr>
          </w:p>
        </w:tc>
        <w:tc>
          <w:tcPr>
            <w:tcW w:w="1549"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color w:val="auto"/>
                <w:sz w:val="24"/>
                <w:szCs w:val="24"/>
              </w:rPr>
            </w:pP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氯化氢</w:t>
            </w:r>
          </w:p>
        </w:tc>
        <w:tc>
          <w:tcPr>
            <w:tcW w:w="2817" w:type="dxa"/>
            <w:vMerge w:val="continue"/>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b/>
                <w:bCs/>
                <w:color w:val="auto"/>
                <w:sz w:val="24"/>
                <w:szCs w:val="24"/>
                <w:highlight w:val="none"/>
                <w:lang w:val="en-US" w:eastAsia="zh-CN"/>
              </w:rPr>
            </w:pPr>
            <w:r>
              <w:rPr>
                <w:rFonts w:hint="eastAsia"/>
                <w:b w:val="0"/>
                <w:bCs w:val="0"/>
                <w:color w:val="auto"/>
                <w:sz w:val="24"/>
                <w:szCs w:val="24"/>
                <w:highlight w:val="none"/>
                <w:lang w:val="en-US" w:eastAsia="zh-CN"/>
              </w:rPr>
              <w:t>《大气污染物综合排放标准》（GB16297-1996）表2中无组织排放监控浓度相关限值要求：氯化氢0.20mg/m</w:t>
            </w:r>
            <w:r>
              <w:rPr>
                <w:rFonts w:hint="eastAsia"/>
                <w:b w:val="0"/>
                <w:bCs w:val="0"/>
                <w:color w:val="auto"/>
                <w:sz w:val="24"/>
                <w:szCs w:val="24"/>
                <w:highlight w:val="none"/>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3" w:type="dxa"/>
            <w:noWrap w:val="0"/>
            <w:vAlign w:val="center"/>
          </w:tcPr>
          <w:p>
            <w:pPr>
              <w:pStyle w:val="32"/>
              <w:bidi w:val="0"/>
              <w:rPr>
                <w:rFonts w:hint="eastAsia"/>
                <w:color w:val="auto"/>
                <w:sz w:val="24"/>
                <w:szCs w:val="24"/>
                <w:highlight w:val="none"/>
              </w:rPr>
            </w:pPr>
            <w:r>
              <w:rPr>
                <w:rFonts w:hint="eastAsia"/>
                <w:color w:val="auto"/>
                <w:sz w:val="24"/>
                <w:szCs w:val="24"/>
                <w:highlight w:val="none"/>
              </w:rPr>
              <w:t>地表水环境</w:t>
            </w:r>
          </w:p>
        </w:tc>
        <w:tc>
          <w:tcPr>
            <w:tcW w:w="154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817"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rPr>
            </w:pPr>
            <w:r>
              <w:rPr>
                <w:rFonts w:hint="eastAsia" w:ascii="宋体" w:hAnsi="宋体" w:eastAsia="宋体" w:cs="宋体"/>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113" w:type="dxa"/>
            <w:noWrap w:val="0"/>
            <w:vAlign w:val="center"/>
          </w:tcPr>
          <w:p>
            <w:pPr>
              <w:pStyle w:val="32"/>
              <w:bidi w:val="0"/>
              <w:rPr>
                <w:rFonts w:hint="eastAsia"/>
                <w:color w:val="auto"/>
                <w:sz w:val="24"/>
                <w:szCs w:val="24"/>
                <w:highlight w:val="none"/>
              </w:rPr>
            </w:pPr>
            <w:r>
              <w:rPr>
                <w:rFonts w:hint="eastAsia"/>
                <w:color w:val="auto"/>
                <w:sz w:val="24"/>
                <w:szCs w:val="24"/>
                <w:highlight w:val="none"/>
              </w:rPr>
              <w:t>声环境</w:t>
            </w:r>
          </w:p>
        </w:tc>
        <w:tc>
          <w:tcPr>
            <w:tcW w:w="154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生产设备运行</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噪声</w:t>
            </w:r>
          </w:p>
        </w:tc>
        <w:tc>
          <w:tcPr>
            <w:tcW w:w="2817"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基础减振，厂房隔声</w:t>
            </w: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default"/>
                <w:color w:val="auto"/>
                <w:sz w:val="24"/>
                <w:szCs w:val="24"/>
                <w:highlight w:val="none"/>
              </w:rPr>
              <w:t>《工业企业厂界环境噪声排放标准》（GB12348-2008）中</w:t>
            </w:r>
            <w:r>
              <w:rPr>
                <w:rFonts w:hint="eastAsia"/>
                <w:color w:val="auto"/>
                <w:sz w:val="24"/>
                <w:szCs w:val="24"/>
                <w:highlight w:val="none"/>
                <w:lang w:val="en-US" w:eastAsia="zh-CN"/>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13" w:type="dxa"/>
            <w:noWrap w:val="0"/>
            <w:vAlign w:val="center"/>
          </w:tcPr>
          <w:p>
            <w:pPr>
              <w:pStyle w:val="32"/>
              <w:bidi w:val="0"/>
              <w:rPr>
                <w:rFonts w:hint="eastAsia"/>
                <w:color w:val="auto"/>
                <w:sz w:val="24"/>
                <w:szCs w:val="24"/>
                <w:highlight w:val="none"/>
              </w:rPr>
            </w:pPr>
            <w:r>
              <w:rPr>
                <w:rFonts w:hint="eastAsia"/>
                <w:color w:val="auto"/>
                <w:sz w:val="24"/>
                <w:szCs w:val="24"/>
                <w:highlight w:val="none"/>
              </w:rPr>
              <w:t>电磁辐射</w:t>
            </w:r>
          </w:p>
        </w:tc>
        <w:tc>
          <w:tcPr>
            <w:tcW w:w="1549" w:type="dxa"/>
            <w:noWrap w:val="0"/>
            <w:vAlign w:val="center"/>
          </w:tcPr>
          <w:p>
            <w:pPr>
              <w:pStyle w:val="32"/>
              <w:keepNext w:val="0"/>
              <w:keepLines w:val="0"/>
              <w:pageBreakBefore w:val="0"/>
              <w:widowControl w:val="0"/>
              <w:kinsoku/>
              <w:wordWrap/>
              <w:overflowPunct/>
              <w:topLinePunct w:val="0"/>
              <w:autoSpaceDE/>
              <w:autoSpaceDN/>
              <w:bidi w:val="0"/>
              <w:adjustRightInd/>
              <w:snapToGrid/>
              <w:spacing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159"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2817"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3110"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113" w:type="dxa"/>
            <w:vMerge w:val="restart"/>
            <w:noWrap w:val="0"/>
            <w:vAlign w:val="center"/>
          </w:tcPr>
          <w:p>
            <w:pPr>
              <w:pStyle w:val="32"/>
              <w:bidi w:val="0"/>
              <w:ind w:firstLine="0" w:firstLineChars="0"/>
              <w:rPr>
                <w:rFonts w:hint="eastAsia"/>
                <w:color w:val="auto"/>
                <w:sz w:val="24"/>
                <w:szCs w:val="24"/>
                <w:highlight w:val="none"/>
              </w:rPr>
            </w:pPr>
            <w:r>
              <w:rPr>
                <w:rFonts w:hint="eastAsia"/>
                <w:color w:val="auto"/>
                <w:sz w:val="24"/>
                <w:szCs w:val="24"/>
                <w:highlight w:val="none"/>
              </w:rPr>
              <w:t>固体废物</w:t>
            </w:r>
          </w:p>
        </w:tc>
        <w:tc>
          <w:tcPr>
            <w:tcW w:w="1549"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一般工业固体废物</w:t>
            </w:r>
          </w:p>
        </w:tc>
        <w:tc>
          <w:tcPr>
            <w:tcW w:w="70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生产过程产生的废包装物；裁切过程产生的PET膜边角料、PVC膜边角料</w:t>
            </w:r>
            <w:r>
              <w:rPr>
                <w:rFonts w:hint="eastAsia"/>
                <w:color w:val="auto"/>
                <w:sz w:val="24"/>
                <w:szCs w:val="24"/>
                <w:highlight w:val="none"/>
                <w:lang w:val="en-US" w:eastAsia="zh-CN"/>
              </w:rPr>
              <w:t>，暂存于一般固废储存区，外售废品回收站。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sz w:val="24"/>
                <w:szCs w:val="24"/>
                <w:highlight w:val="none"/>
                <w:lang w:val="en-US" w:eastAsia="zh-CN"/>
              </w:rPr>
            </w:pPr>
          </w:p>
        </w:tc>
        <w:tc>
          <w:tcPr>
            <w:tcW w:w="1549"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危险废物</w:t>
            </w:r>
          </w:p>
        </w:tc>
        <w:tc>
          <w:tcPr>
            <w:tcW w:w="70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eastAsia="宋体"/>
                <w:b/>
                <w:bCs/>
                <w:color w:val="auto"/>
                <w:sz w:val="24"/>
                <w:szCs w:val="24"/>
                <w:highlight w:val="none"/>
                <w:lang w:val="en-US" w:eastAsia="zh-CN"/>
              </w:rPr>
            </w:pPr>
            <w:r>
              <w:rPr>
                <w:rFonts w:hint="eastAsia"/>
                <w:color w:val="auto"/>
                <w:sz w:val="24"/>
                <w:szCs w:val="24"/>
                <w:highlight w:val="none"/>
                <w:lang w:val="en-US" w:eastAsia="zh-CN"/>
              </w:rPr>
              <w:t>设备维护保养过程产生的废润滑油、废润滑油桶；生产过程中产生的</w:t>
            </w:r>
            <w:r>
              <w:rPr>
                <w:rFonts w:hint="eastAsia"/>
                <w:color w:val="auto"/>
                <w:lang w:val="en-US" w:eastAsia="zh-CN"/>
              </w:rPr>
              <w:t>废包装桶（导电浆料配制原料包装桶），暂存于危废间，定期委托有资质单位运走处置。废气治理设施定期更换的废活性炭，直接由有资质单位运走处置，不在厂区内储存</w:t>
            </w:r>
            <w:r>
              <w:rPr>
                <w:rFonts w:hint="eastAsia"/>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13" w:type="dxa"/>
            <w:noWrap w:val="0"/>
            <w:vAlign w:val="center"/>
          </w:tcPr>
          <w:p>
            <w:pPr>
              <w:pStyle w:val="32"/>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土壤及地下水污染防治措施</w:t>
            </w:r>
          </w:p>
        </w:tc>
        <w:tc>
          <w:tcPr>
            <w:tcW w:w="8635" w:type="dxa"/>
            <w:gridSpan w:val="4"/>
            <w:noWrap w:val="0"/>
            <w:vAlign w:val="center"/>
          </w:tcPr>
          <w:p>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储存的危险废物；危险品储存区储存的润滑油、导电浆料原料、电极银浆、镀膜液、氢氧化钠；使用油品的设备；碱液喷淋塔储存的碱液，</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pPr>
              <w:bidi w:val="0"/>
              <w:rPr>
                <w:rFonts w:hint="eastAsia"/>
                <w:color w:val="auto"/>
                <w:highlight w:val="none"/>
              </w:rPr>
            </w:pPr>
            <w:r>
              <w:rPr>
                <w:rFonts w:hint="eastAsia"/>
                <w:color w:val="auto"/>
                <w:highlight w:val="none"/>
                <w:lang w:val="en-US" w:eastAsia="zh-CN"/>
              </w:rPr>
              <w:t>危废间、危险品储存区、喷淋塔</w:t>
            </w:r>
            <w:r>
              <w:rPr>
                <w:rFonts w:hint="eastAsia"/>
                <w:color w:val="auto"/>
                <w:highlight w:val="none"/>
              </w:rPr>
              <w:t>为重点防渗区，</w:t>
            </w:r>
            <w:r>
              <w:rPr>
                <w:color w:val="auto"/>
                <w:highlight w:val="none"/>
              </w:rPr>
              <w:t>其他</w:t>
            </w:r>
            <w:r>
              <w:rPr>
                <w:rFonts w:hint="eastAsia"/>
                <w:color w:val="auto"/>
                <w:highlight w:val="none"/>
                <w:lang w:val="en-US" w:eastAsia="zh-CN"/>
              </w:rPr>
              <w:t>生产</w:t>
            </w:r>
            <w:r>
              <w:rPr>
                <w:color w:val="auto"/>
                <w:highlight w:val="none"/>
              </w:rPr>
              <w:t>区域</w:t>
            </w:r>
            <w:r>
              <w:rPr>
                <w:rFonts w:hint="eastAsia"/>
                <w:color w:val="auto"/>
                <w:highlight w:val="none"/>
              </w:rPr>
              <w:t>为一般防渗区</w:t>
            </w:r>
            <w:r>
              <w:rPr>
                <w:rFonts w:hint="eastAsia"/>
                <w:color w:val="auto"/>
                <w:highlight w:val="none"/>
                <w:lang w:eastAsia="zh-CN"/>
              </w:rPr>
              <w:t>，</w:t>
            </w:r>
            <w:r>
              <w:rPr>
                <w:rFonts w:hint="eastAsia"/>
                <w:color w:val="auto"/>
                <w:highlight w:val="none"/>
                <w:lang w:val="en-US" w:eastAsia="zh-CN"/>
              </w:rPr>
              <w:t>办公区、厂区地面为简单防渗区</w:t>
            </w:r>
            <w:r>
              <w:rPr>
                <w:rFonts w:hint="eastAsia"/>
                <w:color w:val="auto"/>
                <w:highlight w:val="none"/>
              </w:rPr>
              <w:t>。</w:t>
            </w:r>
          </w:p>
          <w:p>
            <w:pPr>
              <w:bidi w:val="0"/>
              <w:rPr>
                <w:rFonts w:hint="default"/>
                <w:color w:val="auto"/>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color w:val="auto"/>
                <w:highlight w:val="none"/>
                <w:lang w:val="en-US" w:eastAsia="zh-CN"/>
              </w:rPr>
              <w:t>，现有危废间、危险品储存区、碱液喷淋塔</w:t>
            </w:r>
            <w:r>
              <w:rPr>
                <w:rFonts w:hint="eastAsia"/>
                <w:color w:val="auto"/>
                <w:sz w:val="24"/>
                <w:szCs w:val="24"/>
                <w:highlight w:val="none"/>
                <w:lang w:val="en-US" w:eastAsia="zh-CN"/>
              </w:rPr>
              <w:t>，</w:t>
            </w:r>
            <w:r>
              <w:rPr>
                <w:rFonts w:hint="eastAsia"/>
                <w:color w:val="auto"/>
                <w:highlight w:val="none"/>
                <w:lang w:val="en-US" w:eastAsia="zh-CN"/>
              </w:rPr>
              <w:t>已按重点防渗区要求做好防渗，本项目新增润滑油、导电浆料原料均储存于现有危险品储存区，新增危废除活性炭外均储存于现有危废间。</w:t>
            </w:r>
          </w:p>
          <w:p>
            <w:pPr>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ascii="Times New Roman" w:hAnsi="Times New Roman" w:eastAsia="宋体"/>
                <w:color w:val="auto"/>
                <w:sz w:val="24"/>
                <w:szCs w:val="24"/>
                <w:highlight w:val="none"/>
              </w:rPr>
              <w:t>生产车间</w:t>
            </w:r>
            <w:r>
              <w:rPr>
                <w:rFonts w:ascii="Times New Roman" w:hAnsi="Times New Roman" w:eastAsia="宋体"/>
                <w:color w:val="auto"/>
                <w:sz w:val="24"/>
                <w:szCs w:val="24"/>
                <w:highlight w:val="none"/>
              </w:rPr>
              <w:t>其他区域的建设进行基础防渗处理，需满足等效黏土防渗层Mb≥6.0m，K≤1×10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r>
              <w:rPr>
                <w:rFonts w:hint="eastAsia"/>
                <w:color w:val="auto"/>
                <w:sz w:val="24"/>
                <w:szCs w:val="24"/>
                <w:highlight w:val="none"/>
                <w:lang w:eastAsia="zh-CN"/>
              </w:rPr>
              <w:t>，</w:t>
            </w:r>
            <w:r>
              <w:rPr>
                <w:rFonts w:hint="eastAsia"/>
                <w:color w:val="auto"/>
                <w:sz w:val="24"/>
                <w:szCs w:val="24"/>
                <w:highlight w:val="none"/>
                <w:lang w:val="en-US" w:eastAsia="zh-CN"/>
              </w:rPr>
              <w:t>使用油品设备区下设防渗托盘，确保废油不落地</w:t>
            </w:r>
            <w:r>
              <w:rPr>
                <w:rFonts w:ascii="Times New Roman" w:hAnsi="Times New Roman" w:eastAsia="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olor w:val="auto"/>
                <w:sz w:val="24"/>
                <w:szCs w:val="24"/>
                <w:highlight w:val="none"/>
              </w:rPr>
              <w:t>③</w:t>
            </w:r>
            <w:r>
              <w:rPr>
                <w:rFonts w:hint="eastAsia"/>
                <w:color w:val="auto"/>
                <w:sz w:val="24"/>
                <w:szCs w:val="24"/>
                <w:highlight w:val="none"/>
                <w:lang w:val="en-US" w:eastAsia="zh-CN"/>
              </w:rPr>
              <w:t>简单防渗区：办公区地面硬化，厂区地面非硬即绿。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113" w:type="dxa"/>
            <w:noWrap w:val="0"/>
            <w:vAlign w:val="center"/>
          </w:tcPr>
          <w:p>
            <w:pPr>
              <w:pStyle w:val="32"/>
              <w:bidi w:val="0"/>
              <w:ind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生态保护措施</w:t>
            </w:r>
          </w:p>
        </w:tc>
        <w:tc>
          <w:tcPr>
            <w:tcW w:w="863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本项目</w:t>
            </w:r>
            <w:r>
              <w:rPr>
                <w:rFonts w:hint="eastAsia"/>
                <w:color w:val="auto"/>
                <w:sz w:val="24"/>
                <w:szCs w:val="24"/>
                <w:highlight w:val="none"/>
                <w:lang w:val="en-US" w:eastAsia="zh-CN"/>
              </w:rPr>
              <w:t>在现有厂区内进行技术改造，不新增占地，</w:t>
            </w:r>
            <w:r>
              <w:rPr>
                <w:rFonts w:hint="eastAsia"/>
                <w:color w:val="auto"/>
                <w:sz w:val="24"/>
                <w:szCs w:val="24"/>
                <w:highlight w:val="none"/>
                <w:lang w:eastAsia="zh-CN"/>
              </w:rPr>
              <w:t>用地范围内无生态环境保护目标，</w:t>
            </w:r>
            <w:r>
              <w:rPr>
                <w:rFonts w:hint="eastAsia"/>
                <w:color w:val="auto"/>
                <w:sz w:val="24"/>
                <w:szCs w:val="24"/>
                <w:highlight w:val="none"/>
                <w:lang w:val="en-US" w:eastAsia="zh-CN"/>
              </w:rPr>
              <w:t>不会</w:t>
            </w:r>
            <w:r>
              <w:rPr>
                <w:rFonts w:hint="eastAsia"/>
                <w:color w:val="auto"/>
                <w:sz w:val="24"/>
                <w:szCs w:val="24"/>
                <w:highlight w:val="none"/>
                <w:lang w:eastAsia="zh-CN"/>
              </w:rPr>
              <w:t>对区域生态环境</w:t>
            </w:r>
            <w:r>
              <w:rPr>
                <w:rFonts w:hint="eastAsia"/>
                <w:color w:val="auto"/>
                <w:sz w:val="24"/>
                <w:szCs w:val="24"/>
                <w:highlight w:val="none"/>
                <w:lang w:val="en-US" w:eastAsia="zh-CN"/>
              </w:rPr>
              <w:t>造成明显不利</w:t>
            </w:r>
            <w:r>
              <w:rPr>
                <w:rFonts w:hint="eastAsia"/>
                <w:color w:val="auto"/>
                <w:sz w:val="24"/>
                <w:szCs w:val="24"/>
                <w:highlight w:val="none"/>
                <w:lang w:eastAsia="zh-CN"/>
              </w:rPr>
              <w:t>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113" w:type="dxa"/>
            <w:noWrap w:val="0"/>
            <w:vAlign w:val="center"/>
          </w:tcPr>
          <w:p>
            <w:pPr>
              <w:pStyle w:val="32"/>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环境风险防范措施</w:t>
            </w:r>
          </w:p>
        </w:tc>
        <w:tc>
          <w:tcPr>
            <w:tcW w:w="8635" w:type="dxa"/>
            <w:gridSpan w:val="4"/>
            <w:noWrap w:val="0"/>
            <w:vAlign w:val="center"/>
          </w:tcPr>
          <w:p>
            <w:pPr>
              <w:pStyle w:val="44"/>
              <w:keepNext w:val="0"/>
              <w:keepLines w:val="0"/>
              <w:suppressLineNumbers w:val="0"/>
              <w:spacing w:before="0" w:beforeAutospacing="0" w:after="0" w:afterAutospacing="0"/>
              <w:ind w:left="0" w:right="0" w:firstLine="480"/>
              <w:rPr>
                <w:rFonts w:hint="eastAsia"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（1）风险防范措施</w:t>
            </w:r>
          </w:p>
          <w:p>
            <w:pPr>
              <w:pStyle w:val="4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企业储存的润滑油、异氰酸酯密闭桶装储存于危险品储存区，废润滑油桶装加盖，储存于危废间，</w:t>
            </w:r>
            <w:r>
              <w:rPr>
                <w:rFonts w:hint="eastAsia" w:ascii="Times New Roman" w:hAnsi="Times New Roman" w:eastAsia="宋体" w:cs="Times New Roman"/>
                <w:color w:val="auto"/>
                <w:sz w:val="24"/>
                <w:szCs w:val="21"/>
                <w:highlight w:val="none"/>
                <w:shd w:val="clear" w:color="auto" w:fill="auto"/>
                <w:lang w:val="en-US" w:eastAsia="zh-CN"/>
              </w:rPr>
              <w:t>使用</w:t>
            </w:r>
            <w:r>
              <w:rPr>
                <w:rFonts w:hint="eastAsia" w:eastAsia="宋体" w:cs="Times New Roman"/>
                <w:color w:val="auto"/>
                <w:sz w:val="24"/>
                <w:szCs w:val="21"/>
                <w:highlight w:val="none"/>
                <w:shd w:val="clear" w:color="auto" w:fill="auto"/>
                <w:lang w:val="en-US" w:eastAsia="zh-CN"/>
              </w:rPr>
              <w:t>润滑</w:t>
            </w:r>
            <w:r>
              <w:rPr>
                <w:rFonts w:hint="eastAsia" w:ascii="Times New Roman" w:hAnsi="Times New Roman" w:eastAsia="宋体" w:cs="Times New Roman"/>
                <w:color w:val="auto"/>
                <w:sz w:val="24"/>
                <w:szCs w:val="21"/>
                <w:highlight w:val="none"/>
                <w:shd w:val="clear" w:color="auto" w:fill="auto"/>
                <w:lang w:val="en-US" w:eastAsia="zh-CN"/>
              </w:rPr>
              <w:t>油</w:t>
            </w:r>
            <w:r>
              <w:rPr>
                <w:rFonts w:hint="eastAsia" w:eastAsia="宋体" w:cs="Times New Roman"/>
                <w:color w:val="auto"/>
                <w:sz w:val="24"/>
                <w:szCs w:val="21"/>
                <w:highlight w:val="none"/>
                <w:shd w:val="clear" w:color="auto" w:fill="auto"/>
                <w:lang w:val="en-US" w:eastAsia="zh-CN"/>
              </w:rPr>
              <w:t>维护保养</w:t>
            </w:r>
            <w:r>
              <w:rPr>
                <w:rFonts w:hint="eastAsia" w:ascii="Times New Roman" w:hAnsi="Times New Roman" w:eastAsia="宋体" w:cs="Times New Roman"/>
                <w:color w:val="auto"/>
                <w:sz w:val="24"/>
                <w:szCs w:val="21"/>
                <w:highlight w:val="none"/>
                <w:shd w:val="clear" w:color="auto" w:fill="auto"/>
                <w:lang w:val="en-US" w:eastAsia="zh-CN"/>
              </w:rPr>
              <w:t>的</w:t>
            </w:r>
            <w:r>
              <w:rPr>
                <w:rFonts w:hint="eastAsia" w:ascii="Times New Roman" w:hAnsi="Times New Roman" w:eastAsia="宋体" w:cs="Times New Roman"/>
                <w:color w:val="auto"/>
                <w:sz w:val="24"/>
                <w:szCs w:val="21"/>
                <w:highlight w:val="none"/>
                <w:shd w:val="clear" w:color="auto" w:fill="auto"/>
                <w:lang w:eastAsia="zh-CN"/>
              </w:rPr>
              <w:t>设备下设托盘</w:t>
            </w:r>
            <w:r>
              <w:rPr>
                <w:rFonts w:hint="eastAsia" w:eastAsia="宋体"/>
                <w:color w:val="auto"/>
                <w:kern w:val="2"/>
                <w:sz w:val="24"/>
                <w:szCs w:val="24"/>
                <w:highlight w:val="none"/>
                <w:lang w:val="en-US" w:eastAsia="zh-CN" w:bidi="ar-SA"/>
              </w:rPr>
              <w:t>，并</w:t>
            </w:r>
            <w:r>
              <w:rPr>
                <w:rFonts w:hint="default" w:ascii="Times New Roman" w:hAnsi="Times New Roman" w:eastAsia="宋体"/>
                <w:color w:val="auto"/>
                <w:kern w:val="2"/>
                <w:sz w:val="24"/>
                <w:szCs w:val="24"/>
                <w:highlight w:val="none"/>
                <w:lang w:val="en-US" w:eastAsia="zh-CN" w:bidi="ar-SA"/>
              </w:rPr>
              <w:t>配备相应的设备和抢险设施</w:t>
            </w:r>
            <w:r>
              <w:rPr>
                <w:rFonts w:hint="eastAsia"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风险物质</w:t>
            </w:r>
            <w:r>
              <w:rPr>
                <w:rFonts w:hint="eastAsia" w:eastAsia="宋体"/>
                <w:color w:val="auto"/>
                <w:kern w:val="2"/>
                <w:sz w:val="24"/>
                <w:szCs w:val="24"/>
                <w:highlight w:val="none"/>
                <w:lang w:val="en-US" w:eastAsia="zh-CN" w:bidi="ar-SA"/>
              </w:rPr>
              <w:t>使用</w:t>
            </w:r>
            <w:r>
              <w:rPr>
                <w:rFonts w:hint="default" w:ascii="Times New Roman" w:hAnsi="Times New Roman" w:eastAsia="宋体"/>
                <w:color w:val="auto"/>
                <w:kern w:val="2"/>
                <w:sz w:val="24"/>
                <w:szCs w:val="24"/>
                <w:highlight w:val="none"/>
                <w:lang w:val="en-US" w:eastAsia="zh-CN" w:bidi="ar-SA"/>
              </w:rPr>
              <w:t>区有防扬散、防流失、防渗漏等防治措施并参照国家标准《危险废物贮存污染控制标准》</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GB</w:t>
            </w:r>
            <w:r>
              <w:rPr>
                <w:rFonts w:hint="eastAsia" w:ascii="Times New Roman" w:hAnsi="Times New Roman" w:eastAsia="宋体"/>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bidi="ar-SA"/>
              </w:rPr>
              <w:t>18597-20</w:t>
            </w:r>
            <w:r>
              <w:rPr>
                <w:rFonts w:hint="eastAsia" w:eastAsia="宋体"/>
                <w:color w:val="auto"/>
                <w:kern w:val="2"/>
                <w:sz w:val="24"/>
                <w:szCs w:val="24"/>
                <w:highlight w:val="none"/>
                <w:lang w:val="en-US" w:eastAsia="zh-CN" w:bidi="ar-SA"/>
              </w:rPr>
              <w:t>23</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和《危险废物收集贮存运输技术规范》</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HJ</w:t>
            </w:r>
            <w:r>
              <w:rPr>
                <w:rFonts w:hint="eastAsia" w:ascii="Times New Roman" w:hAnsi="Times New Roman" w:eastAsia="宋体"/>
                <w:color w:val="auto"/>
                <w:kern w:val="2"/>
                <w:sz w:val="24"/>
                <w:szCs w:val="24"/>
                <w:highlight w:val="none"/>
                <w:lang w:val="en-US" w:eastAsia="zh-CN" w:bidi="ar-SA"/>
              </w:rPr>
              <w:t xml:space="preserve"> </w:t>
            </w:r>
            <w:r>
              <w:rPr>
                <w:rFonts w:hint="default" w:ascii="Times New Roman" w:hAnsi="Times New Roman" w:eastAsia="宋体"/>
                <w:color w:val="auto"/>
                <w:kern w:val="2"/>
                <w:sz w:val="24"/>
                <w:szCs w:val="24"/>
                <w:highlight w:val="none"/>
                <w:lang w:val="en-US" w:eastAsia="zh-CN" w:bidi="ar-SA"/>
              </w:rPr>
              <w:t>2025-2012</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的要求进行设计。门口设置围挡或斜坡，如果发生泄漏事故，确保风险物质不会溢流出上述区域，避免对水环境、土壤和大气环境造成影响。</w:t>
            </w:r>
          </w:p>
          <w:p>
            <w:pPr>
              <w:bidi w:val="0"/>
              <w:rPr>
                <w:rFonts w:hint="default"/>
                <w:color w:val="auto"/>
                <w:highlight w:val="none"/>
                <w:lang w:val="en-US" w:eastAsia="zh-CN"/>
              </w:rPr>
            </w:pPr>
            <w:r>
              <w:rPr>
                <w:rFonts w:hint="default"/>
                <w:color w:val="auto"/>
                <w:highlight w:val="none"/>
                <w:lang w:val="en-US" w:eastAsia="zh-CN"/>
              </w:rPr>
              <w:t>当发生事故时，为不使事故扩大，防止二次灾害的发生，要求及时抢险抢修，必须对各种险情进行事故前预测，保证抢险队伍的素质，遇险时应及时与当地消防部门取得联系，以获得有力支持。</w:t>
            </w:r>
          </w:p>
          <w:p>
            <w:pPr>
              <w:bidi w:val="0"/>
              <w:rPr>
                <w:rFonts w:hint="default"/>
                <w:color w:val="auto"/>
                <w:highlight w:val="none"/>
                <w:lang w:val="en-US" w:eastAsia="zh-CN"/>
              </w:rPr>
            </w:pPr>
            <w:r>
              <w:rPr>
                <w:rFonts w:hint="default"/>
                <w:color w:val="auto"/>
                <w:highlight w:val="none"/>
                <w:lang w:val="en-US" w:eastAsia="zh-CN"/>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pPr>
              <w:bidi w:val="0"/>
              <w:rPr>
                <w:rFonts w:hint="default"/>
                <w:color w:val="auto"/>
                <w:highlight w:val="none"/>
                <w:lang w:val="en-US" w:eastAsia="zh-CN"/>
              </w:rPr>
            </w:pPr>
            <w:r>
              <w:rPr>
                <w:rFonts w:hint="default"/>
                <w:color w:val="auto"/>
                <w:highlight w:val="none"/>
                <w:lang w:val="en-US" w:eastAsia="zh-CN"/>
              </w:rPr>
              <w:t>企业应建立健全防范制度，加强监督管理，规范操作，这类事故发生的概率处于可接受范围内。</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应急措施</w:t>
            </w:r>
          </w:p>
          <w:p>
            <w:pPr>
              <w:bidi w:val="0"/>
              <w:rPr>
                <w:rFonts w:hint="default"/>
                <w:color w:val="auto"/>
                <w:highlight w:val="none"/>
                <w:lang w:val="en-US" w:eastAsia="zh-CN"/>
              </w:rPr>
            </w:pPr>
            <w:r>
              <w:rPr>
                <w:rFonts w:hint="eastAsia"/>
                <w:color w:val="auto"/>
                <w:highlight w:val="none"/>
                <w:lang w:val="en-US" w:eastAsia="zh-CN"/>
              </w:rPr>
              <w:t>润滑油、废润滑油、异氰酸酯</w:t>
            </w:r>
            <w:r>
              <w:rPr>
                <w:rFonts w:hint="default"/>
                <w:color w:val="auto"/>
                <w:highlight w:val="none"/>
                <w:lang w:val="en-US" w:eastAsia="zh-CN"/>
              </w:rPr>
              <w:t>发生</w:t>
            </w:r>
            <w:r>
              <w:rPr>
                <w:rFonts w:hint="eastAsia"/>
                <w:color w:val="auto"/>
                <w:highlight w:val="none"/>
                <w:lang w:val="en-US" w:eastAsia="zh-CN"/>
              </w:rPr>
              <w:t>泄漏</w:t>
            </w:r>
            <w:r>
              <w:rPr>
                <w:rFonts w:hint="default"/>
                <w:color w:val="auto"/>
                <w:highlight w:val="none"/>
                <w:lang w:val="en-US" w:eastAsia="zh-CN"/>
              </w:rPr>
              <w:t>，通过工作人员或视频监控人员预警，根据现场情况将沙土</w:t>
            </w:r>
            <w:r>
              <w:rPr>
                <w:rFonts w:hint="eastAsia"/>
                <w:color w:val="auto"/>
                <w:highlight w:val="none"/>
                <w:lang w:val="en-US" w:eastAsia="zh-CN"/>
              </w:rPr>
              <w:t>、</w:t>
            </w:r>
            <w:r>
              <w:rPr>
                <w:rFonts w:hint="default"/>
                <w:color w:val="auto"/>
                <w:highlight w:val="none"/>
                <w:lang w:val="en-US" w:eastAsia="zh-CN"/>
              </w:rPr>
              <w:t>沙袋等运至</w:t>
            </w:r>
            <w:r>
              <w:rPr>
                <w:rFonts w:hint="eastAsia"/>
                <w:color w:val="auto"/>
                <w:highlight w:val="none"/>
                <w:lang w:val="en-US" w:eastAsia="zh-CN"/>
              </w:rPr>
              <w:t>事</w:t>
            </w:r>
            <w:r>
              <w:rPr>
                <w:rFonts w:hint="default"/>
                <w:color w:val="auto"/>
                <w:highlight w:val="none"/>
                <w:lang w:val="en-US" w:eastAsia="zh-CN"/>
              </w:rPr>
              <w:t>发现场进行现场环境应急处置，利用沙袋先进行溢流的围堵，避免污染面积扩散，用吸附材料吸收泄漏液体，然后移至安全地区，能够有效防止事故扩大。当风险物质泄漏至雨水管网时，应急组对厂区雨水排口进行封堵，防止泄漏物泄漏</w:t>
            </w:r>
            <w:r>
              <w:rPr>
                <w:rFonts w:hint="eastAsia"/>
                <w:color w:val="auto"/>
                <w:highlight w:val="none"/>
                <w:lang w:val="en-US" w:eastAsia="zh-CN"/>
              </w:rPr>
              <w:t>至</w:t>
            </w:r>
            <w:r>
              <w:rPr>
                <w:rFonts w:hint="default"/>
                <w:color w:val="auto"/>
                <w:highlight w:val="none"/>
                <w:lang w:val="en-US" w:eastAsia="zh-CN"/>
              </w:rPr>
              <w:t>厂区外。一旦泄漏</w:t>
            </w:r>
            <w:r>
              <w:rPr>
                <w:rFonts w:hint="eastAsia"/>
                <w:color w:val="auto"/>
                <w:highlight w:val="none"/>
                <w:lang w:val="en-US" w:eastAsia="zh-CN"/>
              </w:rPr>
              <w:t>至</w:t>
            </w:r>
            <w:r>
              <w:rPr>
                <w:rFonts w:hint="default"/>
                <w:color w:val="auto"/>
                <w:highlight w:val="none"/>
                <w:lang w:val="en-US" w:eastAsia="zh-CN"/>
              </w:rPr>
              <w:t>厂区外，企业应告知当地政府、生态环境局、环境保护监测站等进行处理。</w:t>
            </w:r>
          </w:p>
          <w:p>
            <w:pPr>
              <w:bidi w:val="0"/>
              <w:rPr>
                <w:rFonts w:hint="eastAsia" w:ascii="Times New Roman" w:hAnsi="Times New Roman" w:eastAsia="宋体"/>
                <w:color w:val="auto"/>
                <w:kern w:val="2"/>
                <w:sz w:val="24"/>
                <w:szCs w:val="24"/>
                <w:highlight w:val="none"/>
                <w:lang w:val="en-US" w:eastAsia="zh-CN" w:bidi="ar-SA"/>
              </w:rPr>
            </w:pPr>
            <w:r>
              <w:rPr>
                <w:rFonts w:hint="eastAsia"/>
                <w:color w:val="auto"/>
                <w:highlight w:val="none"/>
                <w:lang w:val="en-US" w:eastAsia="zh-CN"/>
              </w:rPr>
              <w:t>根据收集资料和调查可知，唐山烯彤科技有限公司的突发环境事件应急预案已于2021年01月21日完成备案，唐山市生态环境局高新技术产业开发区分局予以备案，备案编号为130262-2021-002-L。现有工程厂区内的环境风险防范措施及应急措施总体可行，建设单位应结合本项目存在的环境风险，新增的环境风险物质、储存情况、影响途径以及风险防范措施和应急措施对突发环境应急预案进行修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13" w:type="dxa"/>
            <w:noWrap w:val="0"/>
            <w:vAlign w:val="center"/>
          </w:tcPr>
          <w:p>
            <w:pPr>
              <w:pStyle w:val="32"/>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其他环境管理要求</w:t>
            </w:r>
          </w:p>
        </w:tc>
        <w:tc>
          <w:tcPr>
            <w:tcW w:w="8635" w:type="dxa"/>
            <w:gridSpan w:val="4"/>
            <w:noWrap w:val="0"/>
            <w:vAlign w:val="center"/>
          </w:tcPr>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1、环境管理及监测计划</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（1）</w:t>
            </w:r>
            <w:r>
              <w:rPr>
                <w:rFonts w:hint="default"/>
                <w:color w:val="auto"/>
                <w:sz w:val="24"/>
                <w:szCs w:val="24"/>
                <w:highlight w:val="none"/>
              </w:rPr>
              <w:t>环境管理措施</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本项目实行厂长主管环保工作的领导体制，全面负责环保和安全工作。</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①机构组成</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该厂实行厂长负责主管环保工作的领导体制。</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②机构职责</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a.</w:t>
            </w:r>
            <w:r>
              <w:rPr>
                <w:rFonts w:hint="default"/>
                <w:color w:val="auto"/>
                <w:sz w:val="24"/>
                <w:szCs w:val="24"/>
                <w:highlight w:val="none"/>
              </w:rPr>
              <w:t>贯彻执行环境保护法规及环境保护标准；</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b.</w:t>
            </w:r>
            <w:r>
              <w:rPr>
                <w:rFonts w:hint="default"/>
                <w:color w:val="auto"/>
                <w:sz w:val="24"/>
                <w:szCs w:val="24"/>
                <w:highlight w:val="none"/>
              </w:rPr>
              <w:t>建立完善的本企业环境保护管理制度，经常监督检查车间执行环保法规情况；</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c.</w:t>
            </w:r>
            <w:r>
              <w:rPr>
                <w:rFonts w:hint="default"/>
                <w:color w:val="auto"/>
                <w:sz w:val="24"/>
                <w:szCs w:val="24"/>
                <w:highlight w:val="none"/>
              </w:rPr>
              <w:t>搞好环境保护教育和宣传，提高职工的环境保护意识；</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d.</w:t>
            </w:r>
            <w:r>
              <w:rPr>
                <w:rFonts w:hint="default"/>
                <w:color w:val="auto"/>
                <w:sz w:val="24"/>
                <w:szCs w:val="24"/>
                <w:highlight w:val="none"/>
              </w:rPr>
              <w:t>组织对基层环保员的培训，提高工作素质；</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e.</w:t>
            </w:r>
            <w:r>
              <w:rPr>
                <w:rFonts w:hint="default"/>
                <w:color w:val="auto"/>
                <w:sz w:val="24"/>
                <w:szCs w:val="24"/>
                <w:highlight w:val="none"/>
              </w:rPr>
              <w:t>定时考核和统计，以保证各项环保设施常年处于良好运行状态，确保全厂污染物排放达到国家排放标准或总量控制指标。</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default"/>
                <w:color w:val="auto"/>
                <w:sz w:val="24"/>
                <w:szCs w:val="24"/>
                <w:highlight w:val="none"/>
              </w:rPr>
              <w:t>监测制度</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环境监测是环境保护的基础，是进行污染源治理及环保设施运行管理的依据，因而企业应定期对废气、废水、噪声等环保设施运行情况进行监测。</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通过对项目运行中环保设施进行监控，掌握废气、</w:t>
            </w:r>
            <w:r>
              <w:rPr>
                <w:rFonts w:hint="eastAsia"/>
                <w:color w:val="auto"/>
                <w:sz w:val="24"/>
                <w:szCs w:val="24"/>
                <w:highlight w:val="none"/>
                <w:lang w:val="en-US" w:eastAsia="zh-CN"/>
              </w:rPr>
              <w:t>废水、</w:t>
            </w:r>
            <w:r>
              <w:rPr>
                <w:rFonts w:hint="default"/>
                <w:color w:val="auto"/>
                <w:sz w:val="24"/>
                <w:szCs w:val="24"/>
                <w:highlight w:val="none"/>
              </w:rPr>
              <w:t>噪声等污染源排放是否符合国家或地方排放标准的要求，做到达标排放，同时对废气、</w:t>
            </w:r>
            <w:r>
              <w:rPr>
                <w:rFonts w:hint="eastAsia"/>
                <w:color w:val="auto"/>
                <w:sz w:val="24"/>
                <w:szCs w:val="24"/>
                <w:highlight w:val="none"/>
                <w:lang w:val="en-US" w:eastAsia="zh-CN"/>
              </w:rPr>
              <w:t>废水、</w:t>
            </w:r>
            <w:r>
              <w:rPr>
                <w:rFonts w:hint="default"/>
                <w:color w:val="auto"/>
                <w:sz w:val="24"/>
                <w:szCs w:val="24"/>
                <w:highlight w:val="none"/>
              </w:rPr>
              <w:t>固体废物及噪声防治设施进行监督检查，保证正常运行。</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（3）</w:t>
            </w:r>
            <w:r>
              <w:rPr>
                <w:rFonts w:hint="default"/>
                <w:color w:val="auto"/>
                <w:sz w:val="24"/>
                <w:szCs w:val="24"/>
                <w:highlight w:val="none"/>
              </w:rPr>
              <w:t>环境监测机构及设备配置</w:t>
            </w:r>
          </w:p>
          <w:p>
            <w:pPr>
              <w:pStyle w:val="32"/>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环境监测是环境保护的基础，是进行污染治理和监督管理的依据。根据《排污单位自行监测技术指南 总则》（HJ 819-2017）要求，本评价建议企业环境监测工作委托当地有资质的环境监测机构承担。</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rPr>
            </w:pPr>
            <w:r>
              <w:rPr>
                <w:rFonts w:hint="eastAsia"/>
                <w:color w:val="auto"/>
                <w:sz w:val="24"/>
                <w:szCs w:val="24"/>
                <w:highlight w:val="none"/>
                <w:lang w:val="en-US" w:eastAsia="zh-CN"/>
              </w:rPr>
              <w:t>（4）</w:t>
            </w:r>
            <w:r>
              <w:rPr>
                <w:rFonts w:hint="default"/>
                <w:color w:val="auto"/>
                <w:sz w:val="24"/>
                <w:szCs w:val="24"/>
                <w:highlight w:val="none"/>
              </w:rPr>
              <w:t>监测计划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rPr>
            </w:pPr>
            <w:r>
              <w:rPr>
                <w:rFonts w:hint="default"/>
                <w:color w:val="auto"/>
                <w:sz w:val="24"/>
                <w:szCs w:val="24"/>
                <w:highlight w:val="none"/>
              </w:rPr>
              <w:t>根据污染物排放特征，依据国家颁布的环境质量标准、污染物排放标准及地方环保部门的要求，制定项目的监测计划和工作方案，监测工作可委托有资质的环境监测部门承担。企业投入运行后，各污染源</w:t>
            </w:r>
            <w:r>
              <w:rPr>
                <w:rFonts w:hint="eastAsia"/>
                <w:color w:val="auto"/>
                <w:sz w:val="24"/>
                <w:szCs w:val="24"/>
                <w:highlight w:val="none"/>
                <w:lang w:val="en-US" w:eastAsia="zh-CN"/>
              </w:rPr>
              <w:t>按</w:t>
            </w:r>
            <w:r>
              <w:rPr>
                <w:rFonts w:hint="default"/>
                <w:color w:val="auto"/>
                <w:sz w:val="24"/>
                <w:szCs w:val="24"/>
                <w:highlight w:val="none"/>
              </w:rPr>
              <w:t>监测计划</w:t>
            </w:r>
            <w:r>
              <w:rPr>
                <w:rFonts w:hint="eastAsia"/>
                <w:color w:val="auto"/>
                <w:sz w:val="24"/>
                <w:szCs w:val="24"/>
                <w:highlight w:val="none"/>
                <w:lang w:val="en-US" w:eastAsia="zh-CN"/>
              </w:rPr>
              <w:t>进行检测</w:t>
            </w:r>
            <w:r>
              <w:rPr>
                <w:rFonts w:hint="default"/>
                <w:color w:val="auto"/>
                <w:sz w:val="24"/>
                <w:szCs w:val="24"/>
                <w:highlight w:val="none"/>
              </w:rPr>
              <w:t>。</w:t>
            </w:r>
          </w:p>
          <w:p>
            <w:pPr>
              <w:pStyle w:val="23"/>
              <w:keepNext w:val="0"/>
              <w:keepLines w:val="0"/>
              <w:pageBreakBefore w:val="0"/>
              <w:widowControl w:val="0"/>
              <w:kinsoku/>
              <w:wordWrap/>
              <w:overflowPunct/>
              <w:topLinePunct w:val="0"/>
              <w:autoSpaceDE/>
              <w:autoSpaceDN/>
              <w:bidi w:val="0"/>
              <w:adjustRightInd/>
              <w:snapToGrid/>
              <w:spacing w:before="0" w:after="0" w:line="44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2、企业环境信息公开要求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（1）企业环境信息公开</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企业环境信息依法披露管理办法》（部令第24号）的规定，企业事业单位应当按照强制公开和自愿公开相结合的原则，及时、如实地公开其环境信息。如环境信息涉及国家秘密、商业秘密或者个人隐私的，依法可以不公开；法律、法规另有规定的，从其规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该企业应当建立健全本单位环境信息公开制度，指定机构负责本单位环境信息公开日常工作。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（2）建设单位应当公开下列信息内容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该企业应当公开信息内容如下：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①基础信息：包括单位名称、组织机构代码、法定代表人、生产地址、联系方式，以及生产经营和管理服务的主要内容、产品及规模；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③防治污染设施的建设和运行情况；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④建设项目环境影响评价及其他环境保护行政许可情况；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⑤其他应当公开的环境信息。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（3）信息公开方式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该企业采取信息公开栏方式公开相关信息；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3、排污许可规范化管理要求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本项目经对照《固定污染源排污许可分类管理名录（2019 年版）》已纳入名录管理的行业，应及时申请取得排污许可证或填报排污登记表。本项目属于“三十三、电气机械和器材制造业38—87.家用电力器具制造385—“其他”，本公司属于登记。现有工程已进行排污登记，应当在本项目启动生产设施或者发生实际排污之前，进行排污登记变更。并且在国家及地方环保监管部门有要求的情况下实施监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4、环保竣工验收管理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建设单位是建设项目竣工环境保护验收的责任主体，应当按照《建设项目竣工环境保护验收暂行办法》（国环规环评[2017]4号）、《建设项目竣工环境保护验收技术指南污染影响类》（生态环境部办公厅2018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5、</w:t>
            </w:r>
            <w:r>
              <w:rPr>
                <w:rFonts w:hint="default"/>
                <w:color w:val="auto"/>
                <w:sz w:val="24"/>
                <w:szCs w:val="24"/>
                <w:highlight w:val="none"/>
                <w:lang w:val="en-US"/>
              </w:rPr>
              <w:t>排污口规范化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排污口是企业污染物进入受纳环境的通道，做好排污口管理是实施污染物总量控制和达标排放的基础工作之—，必须实行规范化管理。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（1）</w:t>
            </w:r>
            <w:r>
              <w:rPr>
                <w:rFonts w:hint="default"/>
                <w:color w:val="auto"/>
                <w:sz w:val="24"/>
                <w:szCs w:val="24"/>
                <w:highlight w:val="none"/>
                <w:lang w:val="en-US"/>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color w:val="auto"/>
                <w:sz w:val="24"/>
                <w:szCs w:val="24"/>
                <w:highlight w:val="none"/>
                <w:lang w:val="en-US" w:eastAsia="zh-CN"/>
              </w:rPr>
              <w:t>建成后全厂共设置1根排气筒，主要排放污染物为非甲烷总烃、氟化物、氯化氢</w:t>
            </w:r>
            <w:r>
              <w:rPr>
                <w:rFonts w:hint="default"/>
                <w:color w:val="auto"/>
                <w:sz w:val="24"/>
                <w:szCs w:val="24"/>
                <w:highlight w:val="none"/>
                <w:lang w:val="en-US"/>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（2）</w:t>
            </w:r>
            <w:r>
              <w:rPr>
                <w:rFonts w:hint="default"/>
                <w:color w:val="auto"/>
                <w:sz w:val="24"/>
                <w:szCs w:val="24"/>
                <w:highlight w:val="none"/>
                <w:lang w:val="en-US"/>
              </w:rPr>
              <w:t>废水：污水排放口须进行规范化建设，设置环保图形标志牌，需达到《环境保护图形标志排放口（源）》相关要求。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（3）</w:t>
            </w:r>
            <w:r>
              <w:rPr>
                <w:rFonts w:hint="default"/>
                <w:color w:val="auto"/>
                <w:sz w:val="24"/>
                <w:szCs w:val="24"/>
                <w:highlight w:val="none"/>
                <w:lang w:val="en-US"/>
              </w:rPr>
              <w:t>噪声排污口规范化：须按《工业企业厂界环境噪声排放标准》（GB12348-2008）的规定，设置环境噪声监测点，并在该处附近醒目处设置环境保护图形标志牌。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（4）</w:t>
            </w:r>
            <w:r>
              <w:rPr>
                <w:rFonts w:hint="default"/>
                <w:color w:val="auto"/>
                <w:sz w:val="24"/>
                <w:szCs w:val="24"/>
                <w:highlight w:val="none"/>
                <w:lang w:val="en-US"/>
              </w:rPr>
              <w:t>固体废物：本项目固体废物堆放场所必须有防火、防扬散、防渗漏等防止污染环境的措施，标志牌达到 《环境保护图形标志-固体废物贮存（处置）场》（GB15562.2-1995）的规定。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管理要求：排放口规范化的相关设施（如：计量、监控装置、标志牌等）属污染治理设施的组成部分，环境保护部门应按照有关污染治理设施的监督管理规定，加强日常监督管理，排污单位应将规范化排放的相关设施纳入本单位设备管理范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default"/>
                <w:color w:val="auto"/>
                <w:sz w:val="24"/>
                <w:szCs w:val="24"/>
                <w:highlight w:val="none"/>
                <w:lang w:val="en-US"/>
              </w:rPr>
              <w:t>排放口立标要求：设立排污口标志牌，标志牌由国家环境保护总局统一定点监制，达到《环境保护图形标志》（GB15562.1～2-1995）的规定。</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default"/>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color w:val="auto"/>
                <w:sz w:val="24"/>
                <w:szCs w:val="24"/>
                <w:highlight w:val="none"/>
                <w:lang w:val="en-US" w:eastAsia="zh-CN"/>
              </w:rPr>
            </w:pPr>
          </w:p>
        </w:tc>
      </w:tr>
    </w:tbl>
    <w:p>
      <w:pPr>
        <w:rPr>
          <w:color w:val="auto"/>
          <w:highlight w:val="none"/>
        </w:rPr>
      </w:pPr>
      <w:r>
        <w:rPr>
          <w:color w:val="auto"/>
          <w:highlight w:val="none"/>
        </w:rPr>
        <w:br w:type="page"/>
      </w:r>
    </w:p>
    <w:p>
      <w:pPr>
        <w:pStyle w:val="21"/>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ascii="黑体" w:hAnsi="黑体" w:eastAsia="黑体"/>
          <w:snapToGrid w:val="0"/>
          <w:color w:val="auto"/>
          <w:sz w:val="30"/>
          <w:szCs w:val="30"/>
          <w:highlight w:val="none"/>
          <w:lang w:val="en-US" w:eastAsia="zh-CN"/>
        </w:rPr>
      </w:pPr>
      <w:bookmarkStart w:id="8" w:name="_Toc14984"/>
      <w:r>
        <w:rPr>
          <w:rFonts w:hint="eastAsia" w:ascii="黑体" w:hAnsi="黑体" w:eastAsia="黑体"/>
          <w:snapToGrid w:val="0"/>
          <w:color w:val="auto"/>
          <w:sz w:val="30"/>
          <w:szCs w:val="30"/>
          <w:highlight w:val="none"/>
          <w:lang w:val="en-US" w:eastAsia="zh-CN"/>
        </w:rPr>
        <w:t>六、结论</w:t>
      </w:r>
      <w:bookmarkEnd w:id="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0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olor w:val="auto"/>
                <w:highlight w:val="none"/>
                <w:lang w:val="en-US"/>
              </w:rPr>
            </w:pPr>
            <w:r>
              <w:rPr>
                <w:rFonts w:hint="eastAsia"/>
                <w:color w:val="auto"/>
                <w:sz w:val="24"/>
                <w:szCs w:val="24"/>
                <w:highlight w:val="none"/>
                <w:lang w:val="en-US" w:eastAsia="zh-CN"/>
              </w:rPr>
              <w:t>唐山烯彤科技有限公司在唐山市高新区学院北路1718-1号，唐山烯彤科技有限公司院内，投资300万元，建设</w:t>
            </w:r>
            <w:r>
              <w:rPr>
                <w:rFonts w:hint="eastAsia"/>
                <w:color w:val="auto"/>
                <w:highlight w:val="none"/>
                <w:lang w:val="en-US" w:eastAsia="zh-CN"/>
              </w:rPr>
              <w:t>年产八万套石墨烯电发热元件技改及年产五万台节能速热电锅炉建设项目，符合国家产业政策，选址合理，采取环评提出的污染防治措施后，污染物可达标排放，不会对周围环境质量造成明显的不利影响，从环保角度而言，该项目建设可行。</w:t>
            </w:r>
          </w:p>
          <w:p>
            <w:pPr>
              <w:spacing w:line="360" w:lineRule="auto"/>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rPr>
                <w:color w:val="auto"/>
                <w:highlight w:val="none"/>
              </w:rPr>
            </w:pPr>
          </w:p>
          <w:p>
            <w:pPr>
              <w:pStyle w:val="5"/>
              <w:rPr>
                <w:color w:val="auto"/>
                <w:highlight w:val="none"/>
              </w:rPr>
            </w:pPr>
          </w:p>
          <w:p>
            <w:pPr>
              <w:pStyle w:val="3"/>
              <w:outlineLvl w:val="9"/>
              <w:rPr>
                <w:color w:val="auto"/>
                <w:highlight w:val="none"/>
              </w:rPr>
            </w:pPr>
          </w:p>
          <w:p>
            <w:pPr>
              <w:pStyle w:val="5"/>
              <w:ind w:left="0" w:leftChars="0" w:firstLine="0" w:firstLineChars="0"/>
              <w:rPr>
                <w:color w:val="auto"/>
                <w:highlight w:val="none"/>
              </w:rPr>
            </w:pPr>
          </w:p>
        </w:tc>
      </w:tr>
    </w:tbl>
    <w:p>
      <w:pPr>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6"/>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textAlignment w:val="auto"/>
        <w:outlineLvl w:val="0"/>
        <w:rPr>
          <w:rFonts w:ascii="黑体" w:hAnsi="黑体" w:eastAsia="黑体"/>
          <w:snapToGrid w:val="0"/>
          <w:color w:val="auto"/>
          <w:sz w:val="32"/>
          <w:szCs w:val="32"/>
          <w:highlight w:val="none"/>
        </w:rPr>
      </w:pPr>
      <w:bookmarkStart w:id="9" w:name="_Toc9780"/>
      <w:r>
        <w:rPr>
          <w:rFonts w:hint="eastAsia" w:ascii="黑体" w:hAnsi="黑体" w:eastAsia="黑体"/>
          <w:snapToGrid w:val="0"/>
          <w:color w:val="auto"/>
          <w:sz w:val="32"/>
          <w:szCs w:val="32"/>
          <w:highlight w:val="none"/>
        </w:rPr>
        <w:t>附表</w:t>
      </w:r>
      <w:bookmarkEnd w:id="9"/>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eastAsia" w:ascii="方正小标宋_GBK" w:hAnsi="黑体" w:eastAsia="方正小标宋_GBK"/>
          <w:snapToGrid w:val="0"/>
          <w:color w:val="auto"/>
          <w:sz w:val="38"/>
          <w:szCs w:val="38"/>
          <w:highlight w:val="none"/>
        </w:rPr>
      </w:pPr>
      <w:bookmarkStart w:id="10" w:name="_Toc15559"/>
      <w:bookmarkStart w:id="11" w:name="_Toc25866"/>
      <w:r>
        <w:rPr>
          <w:rFonts w:hint="eastAsia" w:ascii="方正小标宋_GBK" w:hAnsi="黑体" w:eastAsia="方正小标宋_GBK"/>
          <w:snapToGrid w:val="0"/>
          <w:color w:val="auto"/>
          <w:sz w:val="38"/>
          <w:szCs w:val="38"/>
          <w:highlight w:val="none"/>
        </w:rPr>
        <w:t>建设项目污染物排放量汇总表</w:t>
      </w:r>
      <w:bookmarkEnd w:id="10"/>
      <w:bookmarkEnd w:id="11"/>
    </w:p>
    <w:tbl>
      <w:tblPr>
        <w:tblStyle w:val="2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32"/>
        <w:gridCol w:w="1595"/>
        <w:gridCol w:w="1254"/>
        <w:gridCol w:w="1814"/>
        <w:gridCol w:w="1500"/>
        <w:gridCol w:w="1452"/>
        <w:gridCol w:w="1590"/>
        <w:gridCol w:w="1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340" w:type="dxa"/>
            <w:tcBorders>
              <w:tl2br w:val="single" w:color="auto" w:sz="4" w:space="0"/>
            </w:tcBorders>
            <w:noWrap w:val="0"/>
            <w:tcMar>
              <w:left w:w="28" w:type="dxa"/>
              <w:right w:w="28" w:type="dxa"/>
            </w:tcMar>
            <w:vAlign w:val="center"/>
          </w:tcPr>
          <w:p>
            <w:pPr>
              <w:pStyle w:val="32"/>
              <w:spacing w:beforeLines="0" w:afterLines="0" w:line="240" w:lineRule="auto"/>
              <w:jc w:val="righ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项目</w:t>
            </w:r>
          </w:p>
          <w:p>
            <w:pPr>
              <w:pStyle w:val="32"/>
              <w:spacing w:beforeLines="0" w:afterLines="0" w:line="240" w:lineRule="auto"/>
              <w:jc w:val="left"/>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分类</w:t>
            </w:r>
          </w:p>
        </w:tc>
        <w:tc>
          <w:tcPr>
            <w:tcW w:w="1732" w:type="dxa"/>
            <w:noWrap w:val="0"/>
            <w:tcMar>
              <w:left w:w="28" w:type="dxa"/>
              <w:right w:w="28" w:type="dxa"/>
            </w:tcMar>
            <w:vAlign w:val="center"/>
          </w:tcPr>
          <w:p>
            <w:pPr>
              <w:pStyle w:val="32"/>
              <w:spacing w:beforeLines="0" w:afterLines="0" w:line="240" w:lineRule="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污染物名称</w:t>
            </w:r>
          </w:p>
        </w:tc>
        <w:tc>
          <w:tcPr>
            <w:tcW w:w="1595"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w:t>
            </w:r>
          </w:p>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1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①</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254"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现有工程许可排放量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2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snapToGrid w:val="0"/>
                <w:color w:val="auto"/>
                <w:spacing w:val="-6"/>
                <w:kern w:val="21"/>
                <w:sz w:val="24"/>
                <w:szCs w:val="24"/>
                <w:highlight w:val="none"/>
              </w:rPr>
              <w:t>②</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814"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在建工程排放量（固体废物产生量）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3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③</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500"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本项目排放量（固体废物产生量）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4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④</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c>
          <w:tcPr>
            <w:tcW w:w="1452"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以新带老削减量（新建项目不填）</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5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⑤</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590"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16"/>
                <w:kern w:val="21"/>
                <w:sz w:val="24"/>
                <w:szCs w:val="24"/>
                <w:highlight w:val="none"/>
              </w:rPr>
            </w:pPr>
            <w:r>
              <w:rPr>
                <w:rFonts w:hint="default" w:ascii="Times New Roman" w:hAnsi="Times New Roman" w:cs="Times New Roman" w:eastAsiaTheme="minorEastAsia"/>
                <w:b/>
                <w:bCs/>
                <w:snapToGrid w:val="0"/>
                <w:color w:val="auto"/>
                <w:spacing w:val="-16"/>
                <w:kern w:val="21"/>
                <w:sz w:val="24"/>
                <w:szCs w:val="24"/>
                <w:highlight w:val="none"/>
              </w:rPr>
              <w:t>本项目建成后全厂排放量（固体废物产生量）</w:t>
            </w:r>
            <w:r>
              <w:rPr>
                <w:rFonts w:hint="default" w:ascii="Times New Roman" w:hAnsi="Times New Roman" w:cs="Times New Roman" w:eastAsiaTheme="minorEastAsia"/>
                <w:b/>
                <w:bCs/>
                <w:snapToGrid w:val="0"/>
                <w:color w:val="auto"/>
                <w:spacing w:val="-16"/>
                <w:kern w:val="21"/>
                <w:sz w:val="24"/>
                <w:szCs w:val="24"/>
                <w:highlight w:val="none"/>
              </w:rPr>
              <w:fldChar w:fldCharType="begin"/>
            </w:r>
            <w:r>
              <w:rPr>
                <w:rFonts w:hint="default" w:ascii="Times New Roman" w:hAnsi="Times New Roman" w:cs="Times New Roman" w:eastAsiaTheme="minorEastAsia"/>
                <w:b/>
                <w:bCs/>
                <w:snapToGrid w:val="0"/>
                <w:color w:val="auto"/>
                <w:spacing w:val="-16"/>
                <w:kern w:val="21"/>
                <w:sz w:val="24"/>
                <w:szCs w:val="24"/>
                <w:highlight w:val="none"/>
              </w:rPr>
              <w:instrText xml:space="preserve"> = 6 \* GB3 \* MERGEFORMAT </w:instrText>
            </w:r>
            <w:r>
              <w:rPr>
                <w:rFonts w:hint="default" w:ascii="Times New Roman" w:hAnsi="Times New Roman" w:cs="Times New Roman" w:eastAsiaTheme="minorEastAsia"/>
                <w:b/>
                <w:bCs/>
                <w:snapToGrid w:val="0"/>
                <w:color w:val="auto"/>
                <w:spacing w:val="-1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⑥</w:t>
            </w:r>
            <w:r>
              <w:rPr>
                <w:rFonts w:hint="default" w:ascii="Times New Roman" w:hAnsi="Times New Roman" w:cs="Times New Roman" w:eastAsiaTheme="minorEastAsia"/>
                <w:b/>
                <w:bCs/>
                <w:snapToGrid w:val="0"/>
                <w:color w:val="auto"/>
                <w:spacing w:val="-16"/>
                <w:kern w:val="21"/>
                <w:sz w:val="24"/>
                <w:szCs w:val="24"/>
                <w:highlight w:val="none"/>
              </w:rPr>
              <w:fldChar w:fldCharType="end"/>
            </w:r>
          </w:p>
        </w:tc>
        <w:tc>
          <w:tcPr>
            <w:tcW w:w="1511" w:type="dxa"/>
            <w:noWrap w:val="0"/>
            <w:tcMar>
              <w:left w:w="28" w:type="dxa"/>
              <w:right w:w="28" w:type="dxa"/>
            </w:tcMar>
            <w:vAlign w:val="center"/>
          </w:tcPr>
          <w:p>
            <w:pPr>
              <w:pStyle w:val="32"/>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bCs/>
                <w:snapToGrid w:val="0"/>
                <w:color w:val="auto"/>
                <w:spacing w:val="-6"/>
                <w:kern w:val="21"/>
                <w:sz w:val="24"/>
                <w:szCs w:val="24"/>
                <w:highlight w:val="none"/>
              </w:rPr>
            </w:pPr>
            <w:r>
              <w:rPr>
                <w:rFonts w:hint="default" w:ascii="Times New Roman" w:hAnsi="Times New Roman" w:cs="Times New Roman" w:eastAsiaTheme="minorEastAsia"/>
                <w:b/>
                <w:bCs/>
                <w:snapToGrid w:val="0"/>
                <w:color w:val="auto"/>
                <w:spacing w:val="-6"/>
                <w:kern w:val="21"/>
                <w:sz w:val="24"/>
                <w:szCs w:val="24"/>
                <w:highlight w:val="none"/>
              </w:rPr>
              <w:t>变化量</w:t>
            </w:r>
            <w:r>
              <w:rPr>
                <w:rFonts w:hint="default" w:ascii="Times New Roman" w:hAnsi="Times New Roman" w:cs="Times New Roman" w:eastAsiaTheme="minorEastAsia"/>
                <w:b/>
                <w:bCs/>
                <w:snapToGrid w:val="0"/>
                <w:color w:val="auto"/>
                <w:spacing w:val="-6"/>
                <w:kern w:val="21"/>
                <w:sz w:val="24"/>
                <w:szCs w:val="24"/>
                <w:highlight w:val="none"/>
              </w:rPr>
              <w:fldChar w:fldCharType="begin"/>
            </w:r>
            <w:r>
              <w:rPr>
                <w:rFonts w:hint="default" w:ascii="Times New Roman" w:hAnsi="Times New Roman" w:cs="Times New Roman" w:eastAsiaTheme="minorEastAsia"/>
                <w:b/>
                <w:bCs/>
                <w:snapToGrid w:val="0"/>
                <w:color w:val="auto"/>
                <w:spacing w:val="-6"/>
                <w:kern w:val="21"/>
                <w:sz w:val="24"/>
                <w:szCs w:val="24"/>
                <w:highlight w:val="none"/>
              </w:rPr>
              <w:instrText xml:space="preserve"> = 7 \* GB3 \* MERGEFORMAT </w:instrText>
            </w:r>
            <w:r>
              <w:rPr>
                <w:rFonts w:hint="default" w:ascii="Times New Roman" w:hAnsi="Times New Roman" w:cs="Times New Roman" w:eastAsiaTheme="minorEastAsia"/>
                <w:b/>
                <w:bCs/>
                <w:snapToGrid w:val="0"/>
                <w:color w:val="auto"/>
                <w:spacing w:val="-6"/>
                <w:kern w:val="21"/>
                <w:sz w:val="24"/>
                <w:szCs w:val="24"/>
                <w:highlight w:val="none"/>
              </w:rPr>
              <w:fldChar w:fldCharType="separate"/>
            </w:r>
            <w:r>
              <w:rPr>
                <w:rFonts w:hint="default" w:ascii="Times New Roman" w:hAnsi="Times New Roman" w:cs="Times New Roman" w:eastAsiaTheme="minorEastAsia"/>
                <w:b/>
                <w:bCs/>
                <w:color w:val="auto"/>
                <w:kern w:val="2"/>
                <w:sz w:val="24"/>
                <w:szCs w:val="24"/>
                <w:highlight w:val="none"/>
              </w:rPr>
              <w:t>⑦</w:t>
            </w:r>
            <w:r>
              <w:rPr>
                <w:rFonts w:hint="default" w:ascii="Times New Roman" w:hAnsi="Times New Roman" w:cs="Times New Roman" w:eastAsiaTheme="minorEastAsia"/>
                <w:b/>
                <w:bCs/>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40" w:type="dxa"/>
            <w:vMerge w:val="restart"/>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废气</w:t>
            </w:r>
          </w:p>
        </w:tc>
        <w:tc>
          <w:tcPr>
            <w:tcW w:w="173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非甲烷总烃</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0.06648t/a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rPr>
              <w:t>0.0426</w:t>
            </w:r>
            <w:r>
              <w:rPr>
                <w:rFonts w:hint="eastAsia" w:cs="Times New Roman"/>
                <w:b w:val="0"/>
                <w:bCs w:val="0"/>
                <w:smallCaps w:val="0"/>
                <w:color w:val="auto"/>
                <w:spacing w:val="0"/>
                <w:position w:val="0"/>
                <w:sz w:val="24"/>
                <w:szCs w:val="24"/>
                <w:highlight w:val="none"/>
                <w:vertAlign w:val="baseline"/>
                <w:lang w:val="en-US" w:eastAsia="zh-CN"/>
              </w:rPr>
              <w:t>t/a</w:t>
            </w:r>
          </w:p>
        </w:tc>
        <w:tc>
          <w:tcPr>
            <w:tcW w:w="14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0.06648t/a</w:t>
            </w:r>
          </w:p>
        </w:tc>
        <w:tc>
          <w:tcPr>
            <w:tcW w:w="159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0.0426</w:t>
            </w:r>
            <w:r>
              <w:rPr>
                <w:rFonts w:hint="eastAsia" w:cs="Times New Roman"/>
                <w:b w:val="0"/>
                <w:bCs w:val="0"/>
                <w:smallCaps w:val="0"/>
                <w:color w:val="auto"/>
                <w:spacing w:val="0"/>
                <w:position w:val="0"/>
                <w:sz w:val="24"/>
                <w:szCs w:val="24"/>
                <w:highlight w:val="none"/>
                <w:vertAlign w:val="baseline"/>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-0.02388t/a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氯化氢</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0.034t/a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0.029423</w:t>
            </w:r>
            <w:r>
              <w:rPr>
                <w:rFonts w:hint="eastAsia" w:cs="Times New Roman"/>
                <w:b w:val="0"/>
                <w:bCs w:val="0"/>
                <w:smallCaps w:val="0"/>
                <w:color w:val="auto"/>
                <w:spacing w:val="0"/>
                <w:position w:val="0"/>
                <w:sz w:val="24"/>
                <w:szCs w:val="24"/>
                <w:highlight w:val="none"/>
                <w:vertAlign w:val="baseline"/>
                <w:lang w:val="en-US" w:eastAsia="zh-CN"/>
              </w:rPr>
              <w:t>t/a</w:t>
            </w:r>
          </w:p>
        </w:tc>
        <w:tc>
          <w:tcPr>
            <w:tcW w:w="14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0.034t/a</w:t>
            </w:r>
          </w:p>
        </w:tc>
        <w:tc>
          <w:tcPr>
            <w:tcW w:w="159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0.029423</w:t>
            </w:r>
            <w:r>
              <w:rPr>
                <w:rFonts w:hint="eastAsia" w:cs="Times New Roman"/>
                <w:b w:val="0"/>
                <w:bCs w:val="0"/>
                <w:smallCaps w:val="0"/>
                <w:color w:val="auto"/>
                <w:spacing w:val="0"/>
                <w:position w:val="0"/>
                <w:sz w:val="24"/>
                <w:szCs w:val="24"/>
                <w:highlight w:val="none"/>
                <w:vertAlign w:val="baseline"/>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-0.004577t/a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p>
        </w:tc>
        <w:tc>
          <w:tcPr>
            <w:tcW w:w="173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氟化物</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i w:val="0"/>
                <w:iCs w:val="0"/>
                <w:color w:val="auto"/>
                <w:kern w:val="2"/>
                <w:sz w:val="24"/>
                <w:szCs w:val="24"/>
                <w:highlight w:val="none"/>
                <w:u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0.0046t/a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0.004</w:t>
            </w:r>
            <w:r>
              <w:rPr>
                <w:rFonts w:hint="eastAsia" w:cs="Times New Roman"/>
                <w:b w:val="0"/>
                <w:bCs w:val="0"/>
                <w:smallCaps w:val="0"/>
                <w:color w:val="auto"/>
                <w:spacing w:val="0"/>
                <w:position w:val="0"/>
                <w:sz w:val="24"/>
                <w:szCs w:val="24"/>
                <w:highlight w:val="none"/>
                <w:vertAlign w:val="baseline"/>
                <w:lang w:val="en-US" w:eastAsia="zh-CN"/>
              </w:rPr>
              <w:t>t/a</w:t>
            </w:r>
          </w:p>
        </w:tc>
        <w:tc>
          <w:tcPr>
            <w:tcW w:w="14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b w:val="0"/>
                <w:bCs w:val="0"/>
                <w:smallCaps w:val="0"/>
                <w:color w:val="auto"/>
                <w:spacing w:val="0"/>
                <w:position w:val="0"/>
                <w:sz w:val="24"/>
                <w:szCs w:val="24"/>
                <w:highlight w:val="none"/>
                <w:vertAlign w:val="baseline"/>
                <w:lang w:val="en-US" w:eastAsia="zh-CN"/>
              </w:rPr>
              <w:t>0.0046t/a</w:t>
            </w:r>
          </w:p>
        </w:tc>
        <w:tc>
          <w:tcPr>
            <w:tcW w:w="159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0.004</w:t>
            </w:r>
            <w:r>
              <w:rPr>
                <w:rFonts w:hint="eastAsia" w:cs="Times New Roman"/>
                <w:b w:val="0"/>
                <w:bCs w:val="0"/>
                <w:smallCaps w:val="0"/>
                <w:color w:val="auto"/>
                <w:spacing w:val="0"/>
                <w:position w:val="0"/>
                <w:sz w:val="24"/>
                <w:szCs w:val="24"/>
                <w:highlight w:val="none"/>
                <w:vertAlign w:val="baseline"/>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b w:val="0"/>
                <w:bCs w:val="0"/>
                <w:smallCaps w:val="0"/>
                <w:color w:val="auto"/>
                <w:spacing w:val="0"/>
                <w:position w:val="0"/>
                <w:sz w:val="24"/>
                <w:szCs w:val="24"/>
                <w:highlight w:val="none"/>
                <w:vertAlign w:val="baseline"/>
                <w:lang w:val="en-US" w:eastAsia="zh-CN"/>
              </w:rPr>
              <w:t>-0.0006t/a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40" w:type="dxa"/>
            <w:vMerge w:val="restart"/>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废水</w:t>
            </w:r>
          </w:p>
        </w:tc>
        <w:tc>
          <w:tcPr>
            <w:tcW w:w="1732"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40" w:after="40"/>
              <w:ind w:left="-24" w:leftChars="-10" w:right="-24" w:rightChars="-1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olor w:val="auto"/>
                <w:sz w:val="24"/>
                <w:szCs w:val="24"/>
                <w:highlight w:val="none"/>
                <w:lang w:val="en-US" w:eastAsia="zh-CN"/>
              </w:rPr>
              <w:t>COD</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i w:val="0"/>
                <w:iCs w:val="0"/>
                <w:color w:val="auto"/>
                <w:kern w:val="0"/>
                <w:sz w:val="24"/>
                <w:szCs w:val="24"/>
                <w:highlight w:val="none"/>
                <w:u w:val="none"/>
                <w:lang w:val="en-US" w:eastAsia="zh-CN" w:bidi="ar"/>
              </w:rPr>
              <w:t>0.057</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i w:val="0"/>
                <w:iCs w:val="0"/>
                <w:color w:val="auto"/>
                <w:kern w:val="0"/>
                <w:sz w:val="24"/>
                <w:szCs w:val="24"/>
                <w:highlight w:val="none"/>
                <w:u w:val="none"/>
                <w:lang w:val="en-US" w:eastAsia="zh-CN" w:bidi="ar"/>
              </w:rPr>
              <w:t>0.057</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40" w:after="40"/>
              <w:ind w:left="-24" w:leftChars="-10" w:right="-24" w:rightChars="-1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olor w:val="auto"/>
                <w:sz w:val="24"/>
                <w:szCs w:val="24"/>
                <w:highlight w:val="none"/>
                <w:lang w:val="en-US" w:eastAsia="zh-CN"/>
              </w:rPr>
              <w:t>BOD</w:t>
            </w:r>
            <w:r>
              <w:rPr>
                <w:rFonts w:hint="eastAsia"/>
                <w:color w:val="auto"/>
                <w:sz w:val="24"/>
                <w:szCs w:val="24"/>
                <w:highlight w:val="none"/>
                <w:vertAlign w:val="subscript"/>
                <w:lang w:val="en-US" w:eastAsia="zh-CN"/>
              </w:rPr>
              <w:t>5</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color w:val="auto"/>
                <w:sz w:val="24"/>
                <w:szCs w:val="24"/>
                <w:highlight w:val="none"/>
                <w:shd w:val="clear" w:color="auto" w:fill="auto"/>
                <w:lang w:val="en-US" w:eastAsia="zh-CN"/>
              </w:rPr>
              <w:t>0.032</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color w:val="auto"/>
                <w:sz w:val="24"/>
                <w:szCs w:val="24"/>
                <w:highlight w:val="none"/>
                <w:shd w:val="clear" w:color="auto" w:fill="auto"/>
                <w:lang w:val="en-US" w:eastAsia="zh-CN"/>
              </w:rPr>
              <w:t>0.032</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40" w:after="40"/>
              <w:ind w:left="-24" w:leftChars="-10" w:right="-24" w:rightChars="-1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olor w:val="auto"/>
                <w:sz w:val="24"/>
                <w:szCs w:val="24"/>
                <w:highlight w:val="none"/>
                <w:lang w:val="en-US" w:eastAsia="zh-CN"/>
              </w:rPr>
              <w:t>SS</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0.0</w:t>
            </w:r>
            <w:r>
              <w:rPr>
                <w:rFonts w:hint="eastAsia" w:cs="Times New Roman"/>
                <w:i w:val="0"/>
                <w:iCs w:val="0"/>
                <w:color w:val="auto"/>
                <w:kern w:val="0"/>
                <w:sz w:val="24"/>
                <w:szCs w:val="24"/>
                <w:highlight w:val="none"/>
                <w:u w:val="none"/>
                <w:lang w:val="en-US" w:eastAsia="zh-CN" w:bidi="ar"/>
              </w:rPr>
              <w:t>16</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default" w:ascii="Times New Roman" w:hAnsi="Times New Roman" w:eastAsia="宋体" w:cs="Times New Roman"/>
                <w:i w:val="0"/>
                <w:iCs w:val="0"/>
                <w:color w:val="auto"/>
                <w:kern w:val="0"/>
                <w:sz w:val="24"/>
                <w:szCs w:val="24"/>
                <w:highlight w:val="none"/>
                <w:u w:val="none"/>
                <w:lang w:val="en-US" w:eastAsia="zh-CN" w:bidi="ar"/>
              </w:rPr>
              <w:t>0.0</w:t>
            </w:r>
            <w:r>
              <w:rPr>
                <w:rFonts w:hint="eastAsia" w:cs="Times New Roman"/>
                <w:i w:val="0"/>
                <w:iCs w:val="0"/>
                <w:color w:val="auto"/>
                <w:kern w:val="0"/>
                <w:sz w:val="24"/>
                <w:szCs w:val="24"/>
                <w:highlight w:val="none"/>
                <w:u w:val="none"/>
                <w:lang w:val="en-US" w:eastAsia="zh-CN" w:bidi="ar"/>
              </w:rPr>
              <w:t>16</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pStyle w:val="32"/>
              <w:keepNext w:val="0"/>
              <w:keepLines w:val="0"/>
              <w:pageBreakBefore w:val="0"/>
              <w:widowControl w:val="0"/>
              <w:kinsoku/>
              <w:wordWrap/>
              <w:overflowPunct/>
              <w:topLinePunct w:val="0"/>
              <w:autoSpaceDE/>
              <w:autoSpaceDN/>
              <w:bidi w:val="0"/>
              <w:adjustRightInd/>
              <w:snapToGrid/>
              <w:spacing w:before="40" w:after="40"/>
              <w:ind w:left="-24" w:leftChars="-10" w:right="-24" w:rightChars="-10" w:firstLine="0" w:firstLineChars="0"/>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olor w:val="auto"/>
                <w:sz w:val="24"/>
                <w:szCs w:val="24"/>
                <w:highlight w:val="none"/>
                <w:lang w:val="en-US" w:eastAsia="zh-CN"/>
              </w:rPr>
              <w:t>NH</w:t>
            </w:r>
            <w:r>
              <w:rPr>
                <w:rFonts w:hint="eastAsia"/>
                <w:color w:val="auto"/>
                <w:sz w:val="24"/>
                <w:szCs w:val="24"/>
                <w:highlight w:val="none"/>
                <w:vertAlign w:val="subscript"/>
                <w:lang w:val="en-US" w:eastAsia="zh-CN"/>
              </w:rPr>
              <w:t>3</w:t>
            </w:r>
            <w:r>
              <w:rPr>
                <w:rFonts w:hint="eastAsia"/>
                <w:color w:val="auto"/>
                <w:sz w:val="24"/>
                <w:szCs w:val="24"/>
                <w:highlight w:val="none"/>
                <w:lang w:val="en-US" w:eastAsia="zh-CN"/>
              </w:rPr>
              <w:t>-N</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i w:val="0"/>
                <w:iCs w:val="0"/>
                <w:color w:val="auto"/>
                <w:kern w:val="0"/>
                <w:sz w:val="24"/>
                <w:szCs w:val="24"/>
                <w:highlight w:val="none"/>
                <w:u w:val="none"/>
                <w:lang w:val="en-US" w:eastAsia="zh-CN" w:bidi="ar"/>
              </w:rPr>
              <w:t>0.004</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i w:val="0"/>
                <w:iCs w:val="0"/>
                <w:color w:val="auto"/>
                <w:kern w:val="0"/>
                <w:sz w:val="24"/>
                <w:szCs w:val="24"/>
                <w:highlight w:val="none"/>
                <w:u w:val="none"/>
                <w:lang w:val="en-US" w:eastAsia="zh-CN" w:bidi="ar"/>
              </w:rPr>
              <w:t>0.004</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restart"/>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一般工业</w:t>
            </w:r>
          </w:p>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固体废物</w:t>
            </w: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废包装物</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1</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snapToGrid w:val="0"/>
                <w:color w:val="auto"/>
                <w:kern w:val="21"/>
                <w:sz w:val="24"/>
                <w:szCs w:val="24"/>
                <w:highlight w:val="none"/>
                <w:lang w:val="en-US" w:eastAsia="zh-CN" w:bidi="ar-SA"/>
              </w:rPr>
              <w:t>0.3t/a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1.3t/a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PET膜边角料、PVC膜边角料</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eastAsiaTheme="minorEastAsia"/>
                <w:snapToGrid w:val="0"/>
                <w:color w:val="auto"/>
                <w:kern w:val="21"/>
                <w:sz w:val="24"/>
                <w:szCs w:val="24"/>
                <w:highlight w:val="none"/>
                <w:lang w:val="en-US" w:eastAsia="zh-CN" w:bidi="ar-SA"/>
              </w:rPr>
              <w:t>0.5t/a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snapToGrid w:val="0"/>
                <w:color w:val="auto"/>
                <w:kern w:val="21"/>
                <w:sz w:val="24"/>
                <w:szCs w:val="24"/>
                <w:highlight w:val="none"/>
                <w:lang w:val="en-US" w:eastAsia="zh-CN" w:bidi="ar-SA"/>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0.5t/a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eastAsiaTheme="minorEastAsia"/>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40" w:type="dxa"/>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highlight w:val="none"/>
                <w:lang w:val="en-US" w:eastAsia="zh-CN"/>
              </w:rPr>
              <w:t>职工生活</w:t>
            </w:r>
          </w:p>
        </w:tc>
        <w:tc>
          <w:tcPr>
            <w:tcW w:w="1732" w:type="dxa"/>
            <w:noWrap w:val="0"/>
            <w:vAlign w:val="center"/>
          </w:tcPr>
          <w:p>
            <w:pPr>
              <w:keepNext w:val="0"/>
              <w:keepLines w:val="0"/>
              <w:pageBreakBefore w:val="0"/>
              <w:widowControl/>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default" w:ascii="Times New Roman" w:hAnsi="Times New Roman" w:cs="Times New Roman" w:eastAsiaTheme="minorEastAsia"/>
                <w:snapToGrid w:val="0"/>
                <w:color w:val="auto"/>
                <w:kern w:val="0"/>
                <w:sz w:val="24"/>
                <w:szCs w:val="24"/>
                <w:highlight w:val="none"/>
                <w:shd w:val="clear" w:color="auto" w:fill="auto"/>
                <w:lang w:val="en-US" w:eastAsia="zh-CN" w:bidi="ar-SA"/>
              </w:rPr>
              <w:t>生活垃圾</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i w:val="0"/>
                <w:color w:val="auto"/>
                <w:kern w:val="0"/>
                <w:sz w:val="24"/>
                <w:szCs w:val="24"/>
                <w:highlight w:val="none"/>
                <w:u w:val="none"/>
                <w:shd w:val="clear" w:color="auto" w:fill="auto"/>
                <w:lang w:val="en-US" w:eastAsia="zh-CN" w:bidi="ar"/>
              </w:rPr>
            </w:pPr>
            <w:r>
              <w:rPr>
                <w:rFonts w:hint="eastAsia" w:cs="Times New Roman" w:eastAsiaTheme="minorEastAsia"/>
                <w:i w:val="0"/>
                <w:color w:val="auto"/>
                <w:kern w:val="0"/>
                <w:sz w:val="24"/>
                <w:szCs w:val="24"/>
                <w:highlight w:val="none"/>
                <w:u w:val="none"/>
                <w:shd w:val="clear" w:color="auto" w:fill="auto"/>
                <w:lang w:val="en-US" w:eastAsia="zh-CN" w:bidi="ar"/>
              </w:rPr>
              <w:t>4.5</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pStyle w:val="2"/>
              <w:keepNext w:val="0"/>
              <w:keepLines w:val="0"/>
              <w:pageBreakBefore w:val="0"/>
              <w:kinsoku/>
              <w:wordWrap/>
              <w:overflowPunct/>
              <w:topLinePunct w:val="0"/>
              <w:autoSpaceDE/>
              <w:autoSpaceDN/>
              <w:bidi w:val="0"/>
              <w:adjustRightInd/>
              <w:snapToGrid/>
              <w:spacing w:before="40" w:beforeLines="0" w:after="40" w:afterLines="0" w:line="240" w:lineRule="auto"/>
              <w:ind w:firstLine="0" w:firstLineChars="0"/>
              <w:jc w:val="center"/>
              <w:rPr>
                <w:rFonts w:hint="default"/>
                <w:color w:val="auto"/>
                <w:sz w:val="24"/>
                <w:szCs w:val="24"/>
                <w:highlight w:val="none"/>
                <w:lang w:val="en-US" w:eastAsia="zh-CN"/>
              </w:rPr>
            </w:pPr>
            <w:r>
              <w:rPr>
                <w:rFonts w:hint="default" w:ascii="Times New Roman" w:hAnsi="Times New Roman" w:cs="Times New Roman" w:eastAsiaTheme="minorEastAsia"/>
                <w:b w:val="0"/>
                <w:bCs/>
                <w:i w:val="0"/>
                <w:color w:val="auto"/>
                <w:kern w:val="0"/>
                <w:sz w:val="24"/>
                <w:szCs w:val="24"/>
                <w:highlight w:val="none"/>
                <w:u w:val="none"/>
                <w:shd w:val="clear" w:color="auto" w:fill="auto"/>
                <w:lang w:val="en-US" w:eastAsia="zh-CN" w:bidi="ar"/>
              </w:rPr>
              <w:t>4.5</w:t>
            </w:r>
            <w:r>
              <w:rPr>
                <w:rFonts w:hint="default" w:ascii="Times New Roman" w:hAnsi="Times New Roman" w:cs="Times New Roman" w:eastAsiaTheme="minorEastAsia"/>
                <w:b w:val="0"/>
                <w:bCs/>
                <w:color w:val="auto"/>
                <w:kern w:val="2"/>
                <w:sz w:val="24"/>
                <w:szCs w:val="24"/>
                <w:highlight w:val="none"/>
                <w:shd w:val="clear" w:color="auto" w:fill="auto"/>
                <w:lang w:val="en-US" w:eastAsia="zh-CN" w:bidi="ar-SA"/>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Times New Roman" w:hAnsi="Times New Roman" w:cs="Times New Roman" w:eastAsiaTheme="minorEastAsia"/>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0" w:type="dxa"/>
            <w:vMerge w:val="restart"/>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危险废物</w:t>
            </w: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cs="Times New Roman"/>
                <w:color w:val="auto"/>
                <w:sz w:val="24"/>
                <w:szCs w:val="24"/>
                <w:highlight w:val="none"/>
                <w:shd w:val="clear" w:color="auto" w:fill="auto"/>
                <w:lang w:val="en-US" w:eastAsia="zh-CN"/>
              </w:rPr>
              <w:t>废润滑油</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0.003</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0.003</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0.006</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color w:val="auto"/>
                <w:sz w:val="24"/>
                <w:szCs w:val="24"/>
                <w:highlight w:val="none"/>
                <w:shd w:val="clear" w:color="auto" w:fill="auto"/>
                <w:lang w:val="en-US" w:eastAsia="zh-CN"/>
              </w:rPr>
              <w:t>+0.003</w:t>
            </w:r>
            <w:r>
              <w:rPr>
                <w:rFonts w:hint="default" w:ascii="Times New Roman" w:hAnsi="Times New Roman" w:cs="Times New Roman" w:eastAsiaTheme="minorEastAsia"/>
                <w:color w:val="auto"/>
                <w:sz w:val="24"/>
                <w:szCs w:val="24"/>
                <w:highlight w:val="none"/>
                <w:shd w:val="clear" w:color="auto" w:fill="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废</w:t>
            </w:r>
            <w:r>
              <w:rPr>
                <w:rFonts w:hint="eastAsia" w:ascii="Times New Roman" w:hAnsi="Times New Roman" w:cs="Times New Roman"/>
                <w:color w:val="auto"/>
                <w:sz w:val="24"/>
                <w:szCs w:val="24"/>
                <w:highlight w:val="none"/>
                <w:shd w:val="clear" w:color="auto" w:fill="auto"/>
                <w:lang w:val="en-US" w:eastAsia="zh-CN"/>
              </w:rPr>
              <w:t>润滑</w:t>
            </w:r>
            <w:r>
              <w:rPr>
                <w:rFonts w:hint="eastAsia" w:ascii="Times New Roman" w:hAnsi="Times New Roman" w:eastAsia="宋体" w:cs="Times New Roman"/>
                <w:color w:val="auto"/>
                <w:sz w:val="24"/>
                <w:szCs w:val="24"/>
                <w:highlight w:val="none"/>
                <w:shd w:val="clear" w:color="auto" w:fill="auto"/>
                <w:lang w:val="en-US" w:eastAsia="zh-CN"/>
              </w:rPr>
              <w:t>油桶</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2个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eastAsiaTheme="minorEastAsia"/>
                <w:color w:val="auto"/>
                <w:sz w:val="24"/>
                <w:szCs w:val="24"/>
                <w:highlight w:val="none"/>
                <w:shd w:val="clear" w:color="auto" w:fill="auto"/>
                <w:lang w:val="en-US" w:eastAsia="zh-CN"/>
              </w:rPr>
              <w:t>2个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4个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color w:val="auto"/>
                <w:sz w:val="24"/>
                <w:szCs w:val="24"/>
                <w:highlight w:val="none"/>
                <w:shd w:val="clear" w:color="auto" w:fill="auto"/>
                <w:lang w:val="en-US" w:eastAsia="zh-CN"/>
              </w:rPr>
              <w:t>+2个</w:t>
            </w:r>
            <w:r>
              <w:rPr>
                <w:rFonts w:hint="default" w:ascii="Times New Roman" w:hAnsi="Times New Roman" w:cs="Times New Roman" w:eastAsiaTheme="minorEastAsia"/>
                <w:color w:val="auto"/>
                <w:sz w:val="24"/>
                <w:szCs w:val="24"/>
                <w:highlight w:val="none"/>
                <w:shd w:val="clear" w:color="auto" w:fill="auto"/>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废包装桶（导电浆料配制原料包装桶）</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ascii="Times New Roman" w:hAnsi="Times New Roman"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.05</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ascii="Times New Roman" w:hAnsi="Times New Roman"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.05</w:t>
            </w:r>
            <w:r>
              <w:rPr>
                <w:rFonts w:hint="default" w:ascii="Times New Roman" w:hAnsi="Times New Roman" w:cs="Times New Roman" w:eastAsiaTheme="minorEastAsia"/>
                <w:color w:val="auto"/>
                <w:sz w:val="24"/>
                <w:szCs w:val="24"/>
                <w:highlight w:val="none"/>
                <w:shd w:val="clear" w:color="auto" w:fill="auto"/>
                <w:lang w:val="en-US" w:eastAsia="zh-CN"/>
              </w:rPr>
              <w:t>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.05</w:t>
            </w:r>
            <w:r>
              <w:rPr>
                <w:rFonts w:hint="default" w:ascii="Times New Roman" w:hAnsi="Times New Roman" w:cs="Times New Roman" w:eastAsiaTheme="minorEastAsia"/>
                <w:color w:val="auto"/>
                <w:sz w:val="24"/>
                <w:szCs w:val="24"/>
                <w:highlight w:val="none"/>
                <w:shd w:val="clear" w:color="auto" w:fill="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color w:val="auto"/>
                <w:sz w:val="24"/>
                <w:szCs w:val="24"/>
                <w:highlight w:val="none"/>
                <w:shd w:val="clear" w:color="auto" w:fill="auto"/>
                <w:lang w:val="en-US" w:eastAsia="zh-CN"/>
              </w:rPr>
              <w:t>喷淋废水</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kern w:val="2"/>
                <w:sz w:val="24"/>
                <w:szCs w:val="24"/>
                <w:highlight w:val="none"/>
                <w:shd w:val="clear" w:color="auto" w:fill="auto"/>
                <w:lang w:val="en-US" w:eastAsia="zh-CN" w:bidi="ar-SA"/>
              </w:rPr>
              <w:t>6m</w:t>
            </w:r>
            <w:r>
              <w:rPr>
                <w:rFonts w:hint="eastAsia" w:cs="Times New Roman" w:eastAsiaTheme="minorEastAsia"/>
                <w:color w:val="auto"/>
                <w:kern w:val="2"/>
                <w:sz w:val="24"/>
                <w:szCs w:val="24"/>
                <w:highlight w:val="none"/>
                <w:shd w:val="clear" w:color="auto" w:fill="auto"/>
                <w:vertAlign w:val="superscript"/>
                <w:lang w:val="en-US" w:eastAsia="zh-CN" w:bidi="ar-SA"/>
              </w:rPr>
              <w:t>3</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kern w:val="2"/>
                <w:sz w:val="24"/>
                <w:szCs w:val="24"/>
                <w:highlight w:val="none"/>
                <w:shd w:val="clear" w:color="auto" w:fill="auto"/>
                <w:lang w:val="en-US" w:eastAsia="zh-CN" w:bidi="ar-SA"/>
              </w:rPr>
              <w:t>6m</w:t>
            </w:r>
            <w:r>
              <w:rPr>
                <w:rFonts w:hint="eastAsia" w:cs="Times New Roman" w:eastAsiaTheme="minorEastAsia"/>
                <w:color w:val="auto"/>
                <w:kern w:val="2"/>
                <w:sz w:val="24"/>
                <w:szCs w:val="24"/>
                <w:highlight w:val="none"/>
                <w:shd w:val="clear" w:color="auto" w:fill="auto"/>
                <w:vertAlign w:val="superscript"/>
                <w:lang w:val="en-US" w:eastAsia="zh-CN" w:bidi="ar-SA"/>
              </w:rPr>
              <w:t>3</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镀膜液包装桶</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4个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4个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snapToGrid w:val="0"/>
                <w:color w:val="auto"/>
                <w:kern w:val="21"/>
                <w:sz w:val="24"/>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left="-24" w:leftChars="-10" w:right="-24" w:rightChars="-10" w:firstLine="0" w:firstLineChars="0"/>
              <w:jc w:val="center"/>
              <w:textAlignment w:val="center"/>
              <w:rPr>
                <w:rFonts w:hint="default" w:ascii="Times New Roman" w:hAnsi="Times New Roman" w:cs="Times New Roman" w:eastAsiaTheme="minorEastAsia"/>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电极银浆包装罐</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50个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0</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color w:val="auto"/>
                <w:sz w:val="24"/>
                <w:szCs w:val="24"/>
                <w:highlight w:val="none"/>
                <w:shd w:val="clear" w:color="auto" w:fill="auto"/>
                <w:lang w:val="en-US" w:eastAsia="zh-CN"/>
              </w:rPr>
              <w:t>6个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44个</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eastAsiaTheme="minorEastAsia"/>
                <w:color w:val="auto"/>
                <w:sz w:val="24"/>
                <w:szCs w:val="24"/>
                <w:highlight w:val="none"/>
                <w:shd w:val="clear" w:color="auto" w:fill="auto"/>
                <w:lang w:val="en-US" w:eastAsia="zh-CN"/>
              </w:rPr>
              <w:t>-6个</w:t>
            </w:r>
            <w:r>
              <w:rPr>
                <w:rFonts w:hint="default" w:ascii="Times New Roman" w:hAnsi="Times New Roman" w:cs="Times New Roman" w:eastAsiaTheme="minorEastAsia"/>
                <w:color w:val="auto"/>
                <w:sz w:val="24"/>
                <w:szCs w:val="24"/>
                <w:highlight w:val="none"/>
                <w:shd w:val="clear" w:color="auto" w:fill="auto"/>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340" w:type="dxa"/>
            <w:vMerge w:val="continue"/>
            <w:noWrap w:val="0"/>
            <w:vAlign w:val="center"/>
          </w:tcPr>
          <w:p>
            <w:pPr>
              <w:pStyle w:val="32"/>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173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cs="Times New Roman" w:eastAsiaTheme="minorEastAsia"/>
                <w:color w:val="auto"/>
                <w:kern w:val="2"/>
                <w:sz w:val="24"/>
                <w:szCs w:val="24"/>
                <w:highlight w:val="none"/>
                <w:lang w:val="en-US" w:eastAsia="zh-CN" w:bidi="ar-SA"/>
              </w:rPr>
              <w:t>废活性炭</w:t>
            </w:r>
          </w:p>
        </w:tc>
        <w:tc>
          <w:tcPr>
            <w:tcW w:w="15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eastAsiaTheme="minorEastAsia"/>
                <w:color w:val="auto"/>
                <w:sz w:val="24"/>
                <w:szCs w:val="24"/>
                <w:highlight w:val="none"/>
                <w:shd w:val="clear" w:color="auto" w:fill="auto"/>
                <w:lang w:val="en-US" w:eastAsia="zh-CN"/>
              </w:rPr>
              <w:t>0.2</w:t>
            </w:r>
            <w:r>
              <w:rPr>
                <w:rFonts w:hint="default" w:ascii="Times New Roman" w:hAnsi="Times New Roman" w:cs="Times New Roman" w:eastAsiaTheme="minorEastAsia"/>
                <w:color w:val="auto"/>
                <w:sz w:val="24"/>
                <w:szCs w:val="24"/>
                <w:highlight w:val="none"/>
                <w:shd w:val="clear" w:color="auto" w:fill="auto"/>
                <w:lang w:val="en-US" w:eastAsia="zh-CN"/>
              </w:rPr>
              <w:t>t/</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25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814"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bidi="ar-SA"/>
              </w:rPr>
              <w:t>－</w:t>
            </w:r>
          </w:p>
        </w:tc>
        <w:tc>
          <w:tcPr>
            <w:tcW w:w="1500"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1.5</w:t>
            </w:r>
            <w:r>
              <w:rPr>
                <w:rFonts w:hint="default" w:ascii="Times New Roman" w:hAnsi="Times New Roman" w:cs="Times New Roman" w:eastAsiaTheme="minorEastAsia"/>
                <w:color w:val="auto"/>
                <w:sz w:val="24"/>
                <w:szCs w:val="24"/>
                <w:highlight w:val="none"/>
                <w:shd w:val="clear" w:color="auto" w:fill="auto"/>
                <w:lang w:val="en-US" w:eastAsia="zh-CN"/>
              </w:rPr>
              <w:t>t/</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452"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eastAsia" w:cs="Times New Roman" w:eastAsiaTheme="minorEastAsia"/>
                <w:color w:val="auto"/>
                <w:sz w:val="24"/>
                <w:szCs w:val="24"/>
                <w:highlight w:val="none"/>
                <w:shd w:val="clear" w:color="auto" w:fill="auto"/>
                <w:lang w:val="en-US" w:eastAsia="zh-CN"/>
              </w:rPr>
              <w:t>0.2</w:t>
            </w:r>
            <w:r>
              <w:rPr>
                <w:rFonts w:hint="default" w:ascii="Times New Roman" w:hAnsi="Times New Roman" w:cs="Times New Roman" w:eastAsiaTheme="minorEastAsia"/>
                <w:color w:val="auto"/>
                <w:sz w:val="24"/>
                <w:szCs w:val="24"/>
                <w:highlight w:val="none"/>
                <w:shd w:val="clear" w:color="auto" w:fill="auto"/>
                <w:lang w:val="en-US" w:eastAsia="zh-CN"/>
              </w:rPr>
              <w:t>t/</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40" w:after="40" w:line="240" w:lineRule="auto"/>
              <w:ind w:firstLine="0" w:firstLineChars="0"/>
              <w:jc w:val="center"/>
              <w:textAlignment w:val="center"/>
              <w:rPr>
                <w:rFonts w:hint="default" w:ascii="Times New Roman" w:hAnsi="Times New Roman" w:cs="Times New Roman" w:eastAsiaTheme="minorEastAsia"/>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1.5</w:t>
            </w:r>
            <w:r>
              <w:rPr>
                <w:rFonts w:hint="default" w:ascii="Times New Roman" w:hAnsi="Times New Roman" w:cs="Times New Roman" w:eastAsiaTheme="minorEastAsia"/>
                <w:color w:val="auto"/>
                <w:sz w:val="24"/>
                <w:szCs w:val="24"/>
                <w:highlight w:val="none"/>
                <w:shd w:val="clear" w:color="auto" w:fill="auto"/>
                <w:lang w:val="en-US" w:eastAsia="zh-CN"/>
              </w:rPr>
              <w:t>t/</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a</w:t>
            </w:r>
          </w:p>
        </w:tc>
        <w:tc>
          <w:tcPr>
            <w:tcW w:w="1511" w:type="dxa"/>
            <w:noWrap w:val="0"/>
            <w:vAlign w:val="center"/>
          </w:tcPr>
          <w:p>
            <w:pPr>
              <w:pStyle w:val="32"/>
              <w:keepNext w:val="0"/>
              <w:keepLines w:val="0"/>
              <w:pageBreakBefore w:val="0"/>
              <w:kinsoku/>
              <w:wordWrap/>
              <w:overflowPunct/>
              <w:topLinePunct w:val="0"/>
              <w:autoSpaceDE/>
              <w:autoSpaceDN/>
              <w:bidi w:val="0"/>
              <w:adjustRightInd/>
              <w:snapToGrid/>
              <w:spacing w:before="40" w:after="4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+1.3</w:t>
            </w:r>
            <w:r>
              <w:rPr>
                <w:rFonts w:hint="default" w:ascii="Times New Roman" w:hAnsi="Times New Roman" w:cs="Times New Roman" w:eastAsiaTheme="minorEastAsia"/>
                <w:color w:val="auto"/>
                <w:sz w:val="24"/>
                <w:szCs w:val="24"/>
                <w:highlight w:val="none"/>
                <w:shd w:val="clear" w:color="auto" w:fill="auto"/>
                <w:lang w:val="en-US" w:eastAsia="zh-CN"/>
              </w:rPr>
              <w:t>t/</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a</w:t>
            </w:r>
          </w:p>
        </w:tc>
      </w:tr>
    </w:tbl>
    <w:p>
      <w:pPr>
        <w:jc w:val="left"/>
        <w:rPr>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0" w:num="1"/>
      <w:rtlGutter w:val="0"/>
      <w:docGrid w:type="lines" w:linePitch="33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D89033-4892-4861-8AFA-744A09C96435}"/>
  </w:font>
  <w:font w:name="Arial">
    <w:panose1 w:val="020B0604020202020204"/>
    <w:charset w:val="01"/>
    <w:family w:val="swiss"/>
    <w:pitch w:val="default"/>
    <w:sig w:usb0="E0002EFF" w:usb1="C000785B" w:usb2="00000009" w:usb3="00000000" w:csb0="400001FF" w:csb1="FFFF0000"/>
    <w:embedRegular r:id="rId2" w:fontKey="{677E068D-2166-45E8-A87B-E6C868A40CD0}"/>
  </w:font>
  <w:font w:name="黑体">
    <w:panose1 w:val="02010609060101010101"/>
    <w:charset w:val="86"/>
    <w:family w:val="auto"/>
    <w:pitch w:val="default"/>
    <w:sig w:usb0="800002BF" w:usb1="38CF7CFA" w:usb2="00000016" w:usb3="00000000" w:csb0="00040001" w:csb1="00000000"/>
    <w:embedRegular r:id="rId3" w:fontKey="{C48581D8-57AC-48B5-B600-1177B0C9C0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9AF4A05-4E11-4E2B-B221-E4E9767D8605}"/>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仿宋_GB2312">
    <w:panose1 w:val="02000000000000000000"/>
    <w:charset w:val="86"/>
    <w:family w:val="auto"/>
    <w:pitch w:val="default"/>
    <w:sig w:usb0="A00002BF" w:usb1="184F6CFA" w:usb2="00000012" w:usb3="00000000" w:csb0="00040001" w:csb1="00000000"/>
    <w:embedRegular r:id="rId5" w:fontKey="{1AAFAC49-8AB5-4780-AECC-34590C50261E}"/>
  </w:font>
  <w:font w:name="华文中宋">
    <w:panose1 w:val="02010600040101010101"/>
    <w:charset w:val="86"/>
    <w:family w:val="auto"/>
    <w:pitch w:val="default"/>
    <w:sig w:usb0="00000287" w:usb1="080F0000" w:usb2="00000000" w:usb3="00000000" w:csb0="0004009F" w:csb1="DFD70000"/>
  </w:font>
  <w:font w:name="华康俪金黑W8">
    <w:altName w:val="黑体"/>
    <w:panose1 w:val="020B0809000000000000"/>
    <w:charset w:val="86"/>
    <w:family w:val="auto"/>
    <w:pitch w:val="default"/>
    <w:sig w:usb0="00000000" w:usb1="00000000" w:usb2="00000012" w:usb3="00000000" w:csb0="00040001" w:csb1="00000000"/>
  </w:font>
  <w:font w:name="方正楷体_GB2312">
    <w:panose1 w:val="02000000000000000000"/>
    <w:charset w:val="86"/>
    <w:family w:val="auto"/>
    <w:pitch w:val="default"/>
    <w:sig w:usb0="A00002BF" w:usb1="184F6CFA" w:usb2="00000012" w:usb3="00000000" w:csb0="00040001" w:csb1="00000000"/>
    <w:embedRegular r:id="rId6" w:fontKey="{849BFC4A-D03F-4C0E-BE17-B0CB178BE962}"/>
  </w:font>
  <w:font w:name="华文仿宋">
    <w:panose1 w:val="02010600040101010101"/>
    <w:charset w:val="86"/>
    <w:family w:val="auto"/>
    <w:pitch w:val="default"/>
    <w:sig w:usb0="00000287" w:usb1="080F0000" w:usb2="00000000" w:usb3="00000000" w:csb0="0004009F" w:csb1="DFD70000"/>
    <w:embedRegular r:id="rId7" w:fontKey="{76F4D068-A1C4-4416-95B3-7502306C62B5}"/>
  </w:font>
  <w:font w:name="仿宋">
    <w:panose1 w:val="02010609060101010101"/>
    <w:charset w:val="86"/>
    <w:family w:val="auto"/>
    <w:pitch w:val="default"/>
    <w:sig w:usb0="800002BF" w:usb1="38CF7CFA" w:usb2="00000016" w:usb3="00000000" w:csb0="00040001" w:csb1="00000000"/>
    <w:embedRegular r:id="rId8" w:fontKey="{FEE22A49-E22E-4146-83B2-313E99C6E6E3}"/>
  </w:font>
  <w:font w:name="义启新宋体">
    <w:panose1 w:val="02010601030101010101"/>
    <w:charset w:val="80"/>
    <w:family w:val="auto"/>
    <w:pitch w:val="default"/>
    <w:sig w:usb0="800002BF" w:usb1="184F6CFA" w:usb2="00000012" w:usb3="00000000" w:csb0="00020001" w:csb1="00000000"/>
    <w:embedRegular r:id="rId9" w:fontKey="{E956A96B-E65E-4D9B-94A9-B73137E9CAD8}"/>
  </w:font>
  <w:font w:name="Tahoma">
    <w:panose1 w:val="020B0604030504040204"/>
    <w:charset w:val="00"/>
    <w:family w:val="swiss"/>
    <w:pitch w:val="default"/>
    <w:sig w:usb0="E1002EFF" w:usb1="C000605B" w:usb2="00000029" w:usb3="00000000" w:csb0="200101FF" w:csb1="20280000"/>
    <w:embedRegular r:id="rId10" w:fontKey="{79023498-8CF6-4B58-A560-2D3B06A57CD4}"/>
  </w:font>
  <w:font w:name="方正小标宋_GBK">
    <w:panose1 w:val="02000000000000000000"/>
    <w:charset w:val="86"/>
    <w:family w:val="script"/>
    <w:pitch w:val="default"/>
    <w:sig w:usb0="A00002BF" w:usb1="38CF7CFA" w:usb2="00082016" w:usb3="00000000" w:csb0="00040001" w:csb1="00000000"/>
    <w:embedRegular r:id="rId11" w:fontKey="{1A709751-0D95-49FB-9939-769191B0A46B}"/>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8"/>
      </w:rPr>
    </w:pPr>
    <w:r>
      <w:fldChar w:fldCharType="begin"/>
    </w:r>
    <w:r>
      <w:rPr>
        <w:rStyle w:val="28"/>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55E7E3"/>
    <w:multiLevelType w:val="singleLevel"/>
    <w:tmpl w:val="8555E7E3"/>
    <w:lvl w:ilvl="0" w:tentative="0">
      <w:start w:val="1"/>
      <w:numFmt w:val="decimal"/>
      <w:suff w:val="nothing"/>
      <w:lvlText w:val="（%1）"/>
      <w:lvlJc w:val="left"/>
    </w:lvl>
  </w:abstractNum>
  <w:abstractNum w:abstractNumId="1">
    <w:nsid w:val="A1ED0235"/>
    <w:multiLevelType w:val="singleLevel"/>
    <w:tmpl w:val="A1ED0235"/>
    <w:lvl w:ilvl="0" w:tentative="0">
      <w:start w:val="1"/>
      <w:numFmt w:val="decimal"/>
      <w:suff w:val="nothing"/>
      <w:lvlText w:val="（%1）"/>
      <w:lvlJc w:val="left"/>
    </w:lvl>
  </w:abstractNum>
  <w:abstractNum w:abstractNumId="2">
    <w:nsid w:val="A9354FC9"/>
    <w:multiLevelType w:val="singleLevel"/>
    <w:tmpl w:val="A9354FC9"/>
    <w:lvl w:ilvl="0" w:tentative="0">
      <w:start w:val="1"/>
      <w:numFmt w:val="chineseCounting"/>
      <w:suff w:val="nothing"/>
      <w:lvlText w:val="%1、"/>
      <w:lvlJc w:val="left"/>
      <w:rPr>
        <w:rFonts w:hint="eastAsia"/>
      </w:rPr>
    </w:lvl>
  </w:abstractNum>
  <w:abstractNum w:abstractNumId="3">
    <w:nsid w:val="AB102A1F"/>
    <w:multiLevelType w:val="singleLevel"/>
    <w:tmpl w:val="AB102A1F"/>
    <w:lvl w:ilvl="0" w:tentative="0">
      <w:start w:val="1"/>
      <w:numFmt w:val="decimal"/>
      <w:suff w:val="space"/>
      <w:lvlText w:val="（%1）"/>
      <w:lvlJc w:val="left"/>
    </w:lvl>
  </w:abstractNum>
  <w:abstractNum w:abstractNumId="4">
    <w:nsid w:val="B553ED60"/>
    <w:multiLevelType w:val="singleLevel"/>
    <w:tmpl w:val="B553ED60"/>
    <w:lvl w:ilvl="0" w:tentative="0">
      <w:start w:val="1"/>
      <w:numFmt w:val="decimal"/>
      <w:suff w:val="nothing"/>
      <w:lvlText w:val="%1"/>
      <w:lvlJc w:val="center"/>
      <w:pPr>
        <w:tabs>
          <w:tab w:val="left" w:pos="0"/>
        </w:tabs>
      </w:pPr>
      <w:rPr>
        <w:rFonts w:hint="default" w:ascii="Times New Roman" w:hAnsi="Times New Roman" w:eastAsia="宋体" w:cs="宋体"/>
      </w:rPr>
    </w:lvl>
  </w:abstractNum>
  <w:abstractNum w:abstractNumId="5">
    <w:nsid w:val="C1412A84"/>
    <w:multiLevelType w:val="singleLevel"/>
    <w:tmpl w:val="C1412A84"/>
    <w:lvl w:ilvl="0" w:tentative="0">
      <w:start w:val="1"/>
      <w:numFmt w:val="decimal"/>
      <w:suff w:val="nothing"/>
      <w:lvlText w:val="%1"/>
      <w:lvlJc w:val="center"/>
      <w:pPr>
        <w:ind w:left="0" w:firstLine="0"/>
      </w:pPr>
      <w:rPr>
        <w:rFonts w:hint="default"/>
      </w:rPr>
    </w:lvl>
  </w:abstractNum>
  <w:abstractNum w:abstractNumId="6">
    <w:nsid w:val="C34ACE68"/>
    <w:multiLevelType w:val="singleLevel"/>
    <w:tmpl w:val="C34ACE68"/>
    <w:lvl w:ilvl="0" w:tentative="0">
      <w:start w:val="1"/>
      <w:numFmt w:val="decimal"/>
      <w:suff w:val="nothing"/>
      <w:lvlText w:val="%1"/>
      <w:lvlJc w:val="center"/>
      <w:pPr>
        <w:ind w:left="0" w:firstLine="0"/>
      </w:pPr>
      <w:rPr>
        <w:rFonts w:hint="default"/>
      </w:rPr>
    </w:lvl>
  </w:abstractNum>
  <w:abstractNum w:abstractNumId="7">
    <w:nsid w:val="CD3D4254"/>
    <w:multiLevelType w:val="singleLevel"/>
    <w:tmpl w:val="CD3D4254"/>
    <w:lvl w:ilvl="0" w:tentative="0">
      <w:start w:val="9"/>
      <w:numFmt w:val="decimal"/>
      <w:suff w:val="nothing"/>
      <w:lvlText w:val="%1、"/>
      <w:lvlJc w:val="left"/>
    </w:lvl>
  </w:abstractNum>
  <w:abstractNum w:abstractNumId="8">
    <w:nsid w:val="CDA2A615"/>
    <w:multiLevelType w:val="singleLevel"/>
    <w:tmpl w:val="CDA2A615"/>
    <w:lvl w:ilvl="0" w:tentative="0">
      <w:start w:val="1"/>
      <w:numFmt w:val="decimal"/>
      <w:suff w:val="nothing"/>
      <w:lvlText w:val="%1"/>
      <w:lvlJc w:val="center"/>
      <w:pPr>
        <w:ind w:left="0" w:firstLine="0"/>
      </w:pPr>
      <w:rPr>
        <w:rFonts w:hint="default"/>
      </w:rPr>
    </w:lvl>
  </w:abstractNum>
  <w:abstractNum w:abstractNumId="9">
    <w:nsid w:val="D1256C3A"/>
    <w:multiLevelType w:val="singleLevel"/>
    <w:tmpl w:val="D1256C3A"/>
    <w:lvl w:ilvl="0" w:tentative="0">
      <w:start w:val="1"/>
      <w:numFmt w:val="decimal"/>
      <w:suff w:val="nothing"/>
      <w:lvlText w:val="%1"/>
      <w:lvlJc w:val="center"/>
      <w:pPr>
        <w:ind w:left="0" w:firstLine="0"/>
      </w:pPr>
      <w:rPr>
        <w:rFonts w:hint="default"/>
      </w:rPr>
    </w:lvl>
  </w:abstractNum>
  <w:abstractNum w:abstractNumId="10">
    <w:nsid w:val="D4445FF1"/>
    <w:multiLevelType w:val="singleLevel"/>
    <w:tmpl w:val="D4445FF1"/>
    <w:lvl w:ilvl="0" w:tentative="0">
      <w:start w:val="1"/>
      <w:numFmt w:val="decimal"/>
      <w:suff w:val="nothing"/>
      <w:lvlText w:val="（%1）"/>
      <w:lvlJc w:val="left"/>
    </w:lvl>
  </w:abstractNum>
  <w:abstractNum w:abstractNumId="11">
    <w:nsid w:val="D7D4DFB5"/>
    <w:multiLevelType w:val="singleLevel"/>
    <w:tmpl w:val="D7D4DFB5"/>
    <w:lvl w:ilvl="0" w:tentative="0">
      <w:start w:val="1"/>
      <w:numFmt w:val="decimal"/>
      <w:suff w:val="nothing"/>
      <w:lvlText w:val="（%1）"/>
      <w:lvlJc w:val="left"/>
    </w:lvl>
  </w:abstractNum>
  <w:abstractNum w:abstractNumId="12">
    <w:nsid w:val="00D09C48"/>
    <w:multiLevelType w:val="singleLevel"/>
    <w:tmpl w:val="00D09C48"/>
    <w:lvl w:ilvl="0" w:tentative="0">
      <w:start w:val="1"/>
      <w:numFmt w:val="decimal"/>
      <w:suff w:val="nothing"/>
      <w:lvlText w:val="%1"/>
      <w:lvlJc w:val="center"/>
      <w:pPr>
        <w:ind w:left="0" w:firstLine="0"/>
      </w:pPr>
      <w:rPr>
        <w:rFonts w:hint="default"/>
      </w:rPr>
    </w:lvl>
  </w:abstractNum>
  <w:abstractNum w:abstractNumId="13">
    <w:nsid w:val="084ADAB0"/>
    <w:multiLevelType w:val="singleLevel"/>
    <w:tmpl w:val="084ADAB0"/>
    <w:lvl w:ilvl="0" w:tentative="0">
      <w:start w:val="1"/>
      <w:numFmt w:val="decimal"/>
      <w:suff w:val="nothing"/>
      <w:lvlText w:val="（%1）"/>
      <w:lvlJc w:val="left"/>
    </w:lvl>
  </w:abstractNum>
  <w:abstractNum w:abstractNumId="14">
    <w:nsid w:val="0AD575B5"/>
    <w:multiLevelType w:val="singleLevel"/>
    <w:tmpl w:val="0AD575B5"/>
    <w:lvl w:ilvl="0" w:tentative="0">
      <w:start w:val="1"/>
      <w:numFmt w:val="decimal"/>
      <w:suff w:val="nothing"/>
      <w:lvlText w:val="%1"/>
      <w:lvlJc w:val="center"/>
      <w:pPr>
        <w:ind w:left="0" w:firstLine="0"/>
      </w:pPr>
      <w:rPr>
        <w:rFonts w:hint="default"/>
      </w:rPr>
    </w:lvl>
  </w:abstractNum>
  <w:abstractNum w:abstractNumId="15">
    <w:nsid w:val="1621849F"/>
    <w:multiLevelType w:val="singleLevel"/>
    <w:tmpl w:val="1621849F"/>
    <w:lvl w:ilvl="0" w:tentative="0">
      <w:start w:val="1"/>
      <w:numFmt w:val="decimal"/>
      <w:suff w:val="nothing"/>
      <w:lvlText w:val="%1"/>
      <w:lvlJc w:val="center"/>
      <w:pPr>
        <w:ind w:left="0" w:firstLine="0"/>
      </w:pPr>
      <w:rPr>
        <w:rFonts w:hint="default"/>
      </w:rPr>
    </w:lvl>
  </w:abstractNum>
  <w:abstractNum w:abstractNumId="16">
    <w:nsid w:val="20FCB8DC"/>
    <w:multiLevelType w:val="singleLevel"/>
    <w:tmpl w:val="20FCB8DC"/>
    <w:lvl w:ilvl="0" w:tentative="0">
      <w:start w:val="1"/>
      <w:numFmt w:val="decimal"/>
      <w:suff w:val="nothing"/>
      <w:lvlText w:val="%1"/>
      <w:lvlJc w:val="center"/>
      <w:pPr>
        <w:ind w:left="0" w:firstLine="0"/>
      </w:pPr>
      <w:rPr>
        <w:rFonts w:hint="default"/>
      </w:rPr>
    </w:lvl>
  </w:abstractNum>
  <w:abstractNum w:abstractNumId="17">
    <w:nsid w:val="2C85D3EB"/>
    <w:multiLevelType w:val="singleLevel"/>
    <w:tmpl w:val="2C85D3EB"/>
    <w:lvl w:ilvl="0" w:tentative="0">
      <w:start w:val="1"/>
      <w:numFmt w:val="decimal"/>
      <w:suff w:val="nothing"/>
      <w:lvlText w:val="%1"/>
      <w:lvlJc w:val="center"/>
      <w:pPr>
        <w:tabs>
          <w:tab w:val="left" w:pos="0"/>
        </w:tabs>
        <w:ind w:left="0" w:leftChars="0" w:firstLine="0" w:firstLineChars="0"/>
      </w:pPr>
      <w:rPr>
        <w:rFonts w:hint="default"/>
      </w:rPr>
    </w:lvl>
  </w:abstractNum>
  <w:abstractNum w:abstractNumId="18">
    <w:nsid w:val="37BD50A3"/>
    <w:multiLevelType w:val="singleLevel"/>
    <w:tmpl w:val="37BD50A3"/>
    <w:lvl w:ilvl="0" w:tentative="0">
      <w:start w:val="1"/>
      <w:numFmt w:val="decimal"/>
      <w:suff w:val="nothing"/>
      <w:lvlText w:val="%1"/>
      <w:lvlJc w:val="center"/>
      <w:pPr>
        <w:ind w:left="0" w:firstLine="0"/>
      </w:pPr>
      <w:rPr>
        <w:rFonts w:hint="default"/>
      </w:rPr>
    </w:lvl>
  </w:abstractNum>
  <w:abstractNum w:abstractNumId="19">
    <w:nsid w:val="37EF0C51"/>
    <w:multiLevelType w:val="singleLevel"/>
    <w:tmpl w:val="37EF0C51"/>
    <w:lvl w:ilvl="0" w:tentative="0">
      <w:start w:val="1"/>
      <w:numFmt w:val="decimal"/>
      <w:suff w:val="nothing"/>
      <w:lvlText w:val="%1"/>
      <w:lvlJc w:val="center"/>
      <w:pPr>
        <w:ind w:left="0" w:firstLine="0"/>
      </w:pPr>
      <w:rPr>
        <w:rFonts w:hint="default"/>
      </w:rPr>
    </w:lvl>
  </w:abstractNum>
  <w:abstractNum w:abstractNumId="20">
    <w:nsid w:val="3A12E4B2"/>
    <w:multiLevelType w:val="singleLevel"/>
    <w:tmpl w:val="3A12E4B2"/>
    <w:lvl w:ilvl="0" w:tentative="0">
      <w:start w:val="1"/>
      <w:numFmt w:val="decimal"/>
      <w:suff w:val="nothing"/>
      <w:lvlText w:val="%1"/>
      <w:lvlJc w:val="center"/>
      <w:pPr>
        <w:ind w:left="0" w:firstLine="0"/>
      </w:pPr>
      <w:rPr>
        <w:rFonts w:hint="default"/>
      </w:rPr>
    </w:lvl>
  </w:abstractNum>
  <w:abstractNum w:abstractNumId="21">
    <w:nsid w:val="3F26402C"/>
    <w:multiLevelType w:val="singleLevel"/>
    <w:tmpl w:val="3F26402C"/>
    <w:lvl w:ilvl="0" w:tentative="0">
      <w:start w:val="6"/>
      <w:numFmt w:val="decimal"/>
      <w:suff w:val="nothing"/>
      <w:lvlText w:val="%1、"/>
      <w:lvlJc w:val="left"/>
    </w:lvl>
  </w:abstractNum>
  <w:abstractNum w:abstractNumId="22">
    <w:nsid w:val="3F76F58B"/>
    <w:multiLevelType w:val="singleLevel"/>
    <w:tmpl w:val="3F76F58B"/>
    <w:lvl w:ilvl="0" w:tentative="0">
      <w:start w:val="1"/>
      <w:numFmt w:val="decimal"/>
      <w:suff w:val="nothing"/>
      <w:lvlText w:val="（%1）"/>
      <w:lvlJc w:val="left"/>
    </w:lvl>
  </w:abstractNum>
  <w:abstractNum w:abstractNumId="23">
    <w:nsid w:val="4A802A47"/>
    <w:multiLevelType w:val="singleLevel"/>
    <w:tmpl w:val="4A802A47"/>
    <w:lvl w:ilvl="0" w:tentative="0">
      <w:start w:val="1"/>
      <w:numFmt w:val="decimal"/>
      <w:suff w:val="nothing"/>
      <w:lvlText w:val="（%1）"/>
      <w:lvlJc w:val="left"/>
    </w:lvl>
  </w:abstractNum>
  <w:abstractNum w:abstractNumId="24">
    <w:nsid w:val="4D560BFE"/>
    <w:multiLevelType w:val="singleLevel"/>
    <w:tmpl w:val="4D560BFE"/>
    <w:lvl w:ilvl="0" w:tentative="0">
      <w:start w:val="1"/>
      <w:numFmt w:val="decimal"/>
      <w:suff w:val="nothing"/>
      <w:lvlText w:val="%1"/>
      <w:lvlJc w:val="center"/>
      <w:pPr>
        <w:ind w:left="0" w:firstLine="0"/>
      </w:pPr>
      <w:rPr>
        <w:rFonts w:hint="default"/>
      </w:rPr>
    </w:lvl>
  </w:abstractNum>
  <w:abstractNum w:abstractNumId="25">
    <w:nsid w:val="4E3BF9F6"/>
    <w:multiLevelType w:val="singleLevel"/>
    <w:tmpl w:val="4E3BF9F6"/>
    <w:lvl w:ilvl="0" w:tentative="0">
      <w:start w:val="1"/>
      <w:numFmt w:val="decimal"/>
      <w:suff w:val="nothing"/>
      <w:lvlText w:val="%1、"/>
      <w:lvlJc w:val="left"/>
    </w:lvl>
  </w:abstractNum>
  <w:abstractNum w:abstractNumId="26">
    <w:nsid w:val="52624146"/>
    <w:multiLevelType w:val="singleLevel"/>
    <w:tmpl w:val="52624146"/>
    <w:lvl w:ilvl="0" w:tentative="0">
      <w:start w:val="1"/>
      <w:numFmt w:val="decimal"/>
      <w:suff w:val="nothing"/>
      <w:lvlText w:val="%1、"/>
      <w:lvlJc w:val="left"/>
    </w:lvl>
  </w:abstractNum>
  <w:abstractNum w:abstractNumId="27">
    <w:nsid w:val="564B9D38"/>
    <w:multiLevelType w:val="singleLevel"/>
    <w:tmpl w:val="564B9D38"/>
    <w:lvl w:ilvl="0" w:tentative="0">
      <w:start w:val="6"/>
      <w:numFmt w:val="decimal"/>
      <w:suff w:val="nothing"/>
      <w:lvlText w:val="（%1）"/>
      <w:lvlJc w:val="left"/>
    </w:lvl>
  </w:abstractNum>
  <w:abstractNum w:abstractNumId="28">
    <w:nsid w:val="63377093"/>
    <w:multiLevelType w:val="singleLevel"/>
    <w:tmpl w:val="63377093"/>
    <w:lvl w:ilvl="0" w:tentative="0">
      <w:start w:val="1"/>
      <w:numFmt w:val="decimal"/>
      <w:suff w:val="nothing"/>
      <w:lvlText w:val="%1"/>
      <w:lvlJc w:val="center"/>
      <w:pPr>
        <w:ind w:left="0" w:firstLine="0"/>
      </w:pPr>
      <w:rPr>
        <w:rFonts w:hint="default"/>
      </w:rPr>
    </w:lvl>
  </w:abstractNum>
  <w:abstractNum w:abstractNumId="29">
    <w:nsid w:val="65A4E0FB"/>
    <w:multiLevelType w:val="singleLevel"/>
    <w:tmpl w:val="65A4E0FB"/>
    <w:lvl w:ilvl="0" w:tentative="0">
      <w:start w:val="7"/>
      <w:numFmt w:val="decimal"/>
      <w:suff w:val="nothing"/>
      <w:lvlText w:val="%1、"/>
      <w:lvlJc w:val="left"/>
    </w:lvl>
  </w:abstractNum>
  <w:abstractNum w:abstractNumId="30">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31">
    <w:nsid w:val="72E7EB09"/>
    <w:multiLevelType w:val="singleLevel"/>
    <w:tmpl w:val="72E7EB09"/>
    <w:lvl w:ilvl="0" w:tentative="0">
      <w:start w:val="1"/>
      <w:numFmt w:val="decimal"/>
      <w:suff w:val="nothing"/>
      <w:lvlText w:val="%1、"/>
      <w:lvlJc w:val="left"/>
    </w:lvl>
  </w:abstractNum>
  <w:abstractNum w:abstractNumId="32">
    <w:nsid w:val="783E6DD8"/>
    <w:multiLevelType w:val="singleLevel"/>
    <w:tmpl w:val="783E6DD8"/>
    <w:lvl w:ilvl="0" w:tentative="0">
      <w:start w:val="2"/>
      <w:numFmt w:val="decimal"/>
      <w:suff w:val="nothing"/>
      <w:lvlText w:val="%1、"/>
      <w:lvlJc w:val="left"/>
    </w:lvl>
  </w:abstractNum>
  <w:num w:numId="1">
    <w:abstractNumId w:val="27"/>
  </w:num>
  <w:num w:numId="2">
    <w:abstractNumId w:val="15"/>
  </w:num>
  <w:num w:numId="3">
    <w:abstractNumId w:val="19"/>
  </w:num>
  <w:num w:numId="4">
    <w:abstractNumId w:val="26"/>
  </w:num>
  <w:num w:numId="5">
    <w:abstractNumId w:val="29"/>
  </w:num>
  <w:num w:numId="6">
    <w:abstractNumId w:val="4"/>
  </w:num>
  <w:num w:numId="7">
    <w:abstractNumId w:val="31"/>
  </w:num>
  <w:num w:numId="8">
    <w:abstractNumId w:val="2"/>
  </w:num>
  <w:num w:numId="9">
    <w:abstractNumId w:val="18"/>
  </w:num>
  <w:num w:numId="10">
    <w:abstractNumId w:val="5"/>
  </w:num>
  <w:num w:numId="11">
    <w:abstractNumId w:val="16"/>
  </w:num>
  <w:num w:numId="12">
    <w:abstractNumId w:val="20"/>
  </w:num>
  <w:num w:numId="13">
    <w:abstractNumId w:val="6"/>
  </w:num>
  <w:num w:numId="14">
    <w:abstractNumId w:val="17"/>
  </w:num>
  <w:num w:numId="15">
    <w:abstractNumId w:val="9"/>
  </w:num>
  <w:num w:numId="16">
    <w:abstractNumId w:val="7"/>
  </w:num>
  <w:num w:numId="17">
    <w:abstractNumId w:val="24"/>
  </w:num>
  <w:num w:numId="18">
    <w:abstractNumId w:val="14"/>
  </w:num>
  <w:num w:numId="19">
    <w:abstractNumId w:val="25"/>
  </w:num>
  <w:num w:numId="20">
    <w:abstractNumId w:val="22"/>
  </w:num>
  <w:num w:numId="21">
    <w:abstractNumId w:val="13"/>
  </w:num>
  <w:num w:numId="22">
    <w:abstractNumId w:val="1"/>
  </w:num>
  <w:num w:numId="23">
    <w:abstractNumId w:val="0"/>
  </w:num>
  <w:num w:numId="24">
    <w:abstractNumId w:val="21"/>
  </w:num>
  <w:num w:numId="25">
    <w:abstractNumId w:val="10"/>
  </w:num>
  <w:num w:numId="26">
    <w:abstractNumId w:val="23"/>
  </w:num>
  <w:num w:numId="27">
    <w:abstractNumId w:val="11"/>
  </w:num>
  <w:num w:numId="28">
    <w:abstractNumId w:val="8"/>
  </w:num>
  <w:num w:numId="29">
    <w:abstractNumId w:val="32"/>
  </w:num>
  <w:num w:numId="30">
    <w:abstractNumId w:val="28"/>
  </w:num>
  <w:num w:numId="31">
    <w:abstractNumId w:val="3"/>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2ZWRmNjk0ODg1ZWNjODdiZDc1Nzk3YWZjMjJjYjQifQ=="/>
  </w:docVars>
  <w:rsids>
    <w:rsidRoot w:val="00172A27"/>
    <w:rsid w:val="00D32067"/>
    <w:rsid w:val="01395070"/>
    <w:rsid w:val="01A73900"/>
    <w:rsid w:val="01AC517D"/>
    <w:rsid w:val="01BC7932"/>
    <w:rsid w:val="02275EDB"/>
    <w:rsid w:val="027C00C7"/>
    <w:rsid w:val="04632C77"/>
    <w:rsid w:val="046F14D4"/>
    <w:rsid w:val="04E2319C"/>
    <w:rsid w:val="06310BC5"/>
    <w:rsid w:val="06E67961"/>
    <w:rsid w:val="07116996"/>
    <w:rsid w:val="075A0D93"/>
    <w:rsid w:val="08767F7A"/>
    <w:rsid w:val="08C90AA6"/>
    <w:rsid w:val="09164A8E"/>
    <w:rsid w:val="0970181C"/>
    <w:rsid w:val="099646D7"/>
    <w:rsid w:val="0A9D2A07"/>
    <w:rsid w:val="0B566063"/>
    <w:rsid w:val="0DE8328F"/>
    <w:rsid w:val="0F2A3EDC"/>
    <w:rsid w:val="0F313F83"/>
    <w:rsid w:val="0F32623D"/>
    <w:rsid w:val="0F997807"/>
    <w:rsid w:val="0FBD663B"/>
    <w:rsid w:val="106C3AA2"/>
    <w:rsid w:val="11A21857"/>
    <w:rsid w:val="11D405FA"/>
    <w:rsid w:val="11F65EA9"/>
    <w:rsid w:val="12661175"/>
    <w:rsid w:val="13862F37"/>
    <w:rsid w:val="147936E4"/>
    <w:rsid w:val="16393F8C"/>
    <w:rsid w:val="16414353"/>
    <w:rsid w:val="170114E8"/>
    <w:rsid w:val="186F108C"/>
    <w:rsid w:val="18F64A17"/>
    <w:rsid w:val="19AC41D9"/>
    <w:rsid w:val="1A5A7CE7"/>
    <w:rsid w:val="1ABF3CD3"/>
    <w:rsid w:val="1CB942E2"/>
    <w:rsid w:val="1D721C44"/>
    <w:rsid w:val="1EAE454F"/>
    <w:rsid w:val="1F207FD8"/>
    <w:rsid w:val="208675FF"/>
    <w:rsid w:val="20991403"/>
    <w:rsid w:val="20F909D3"/>
    <w:rsid w:val="21E13260"/>
    <w:rsid w:val="227F09EA"/>
    <w:rsid w:val="22A73A63"/>
    <w:rsid w:val="2394199E"/>
    <w:rsid w:val="240847CA"/>
    <w:rsid w:val="24BE3F84"/>
    <w:rsid w:val="25505782"/>
    <w:rsid w:val="25F71BD4"/>
    <w:rsid w:val="27927949"/>
    <w:rsid w:val="29DF1706"/>
    <w:rsid w:val="2A9C2B2F"/>
    <w:rsid w:val="2AD977C4"/>
    <w:rsid w:val="2B99684E"/>
    <w:rsid w:val="2E0306E6"/>
    <w:rsid w:val="2E1F2D74"/>
    <w:rsid w:val="2FB40854"/>
    <w:rsid w:val="2FDA4764"/>
    <w:rsid w:val="301D0CCC"/>
    <w:rsid w:val="31576B57"/>
    <w:rsid w:val="335262EB"/>
    <w:rsid w:val="338257CF"/>
    <w:rsid w:val="34CD7BFA"/>
    <w:rsid w:val="357D5757"/>
    <w:rsid w:val="36536A84"/>
    <w:rsid w:val="368F480F"/>
    <w:rsid w:val="36E35462"/>
    <w:rsid w:val="38310C7F"/>
    <w:rsid w:val="38B5651C"/>
    <w:rsid w:val="38E53734"/>
    <w:rsid w:val="39194148"/>
    <w:rsid w:val="399B13CE"/>
    <w:rsid w:val="3A5123C7"/>
    <w:rsid w:val="3A5244D1"/>
    <w:rsid w:val="3B681923"/>
    <w:rsid w:val="3BD556E5"/>
    <w:rsid w:val="3DE84A23"/>
    <w:rsid w:val="4030291B"/>
    <w:rsid w:val="40C00528"/>
    <w:rsid w:val="412B3949"/>
    <w:rsid w:val="41B93B54"/>
    <w:rsid w:val="420A43ED"/>
    <w:rsid w:val="42AC6E18"/>
    <w:rsid w:val="43065462"/>
    <w:rsid w:val="43560B8E"/>
    <w:rsid w:val="43B71689"/>
    <w:rsid w:val="444A5133"/>
    <w:rsid w:val="45337804"/>
    <w:rsid w:val="4687200C"/>
    <w:rsid w:val="46DD338A"/>
    <w:rsid w:val="47500654"/>
    <w:rsid w:val="483C2809"/>
    <w:rsid w:val="48D3553D"/>
    <w:rsid w:val="49E3742F"/>
    <w:rsid w:val="4B8564DA"/>
    <w:rsid w:val="4BD07EF1"/>
    <w:rsid w:val="4D421BCE"/>
    <w:rsid w:val="4D6F3EA0"/>
    <w:rsid w:val="4E231FB4"/>
    <w:rsid w:val="500145FB"/>
    <w:rsid w:val="508769D7"/>
    <w:rsid w:val="50904EF2"/>
    <w:rsid w:val="51B4709B"/>
    <w:rsid w:val="520F009C"/>
    <w:rsid w:val="52894B8D"/>
    <w:rsid w:val="529C5A87"/>
    <w:rsid w:val="52D36CFA"/>
    <w:rsid w:val="53030D9B"/>
    <w:rsid w:val="533A4B08"/>
    <w:rsid w:val="5345315F"/>
    <w:rsid w:val="53994003"/>
    <w:rsid w:val="55560F98"/>
    <w:rsid w:val="560E048D"/>
    <w:rsid w:val="56561334"/>
    <w:rsid w:val="56977921"/>
    <w:rsid w:val="579D503F"/>
    <w:rsid w:val="57CF3558"/>
    <w:rsid w:val="583D1240"/>
    <w:rsid w:val="587329E5"/>
    <w:rsid w:val="589139F5"/>
    <w:rsid w:val="58B475AE"/>
    <w:rsid w:val="5AD04D68"/>
    <w:rsid w:val="5B6F276D"/>
    <w:rsid w:val="5BA64CC4"/>
    <w:rsid w:val="5D5306D7"/>
    <w:rsid w:val="5D58750A"/>
    <w:rsid w:val="5DC31172"/>
    <w:rsid w:val="5E406789"/>
    <w:rsid w:val="5F5556C9"/>
    <w:rsid w:val="601F59AC"/>
    <w:rsid w:val="62A46135"/>
    <w:rsid w:val="62A77AD4"/>
    <w:rsid w:val="63082191"/>
    <w:rsid w:val="64816C99"/>
    <w:rsid w:val="649E1DF8"/>
    <w:rsid w:val="65055B18"/>
    <w:rsid w:val="65550DA5"/>
    <w:rsid w:val="66657F88"/>
    <w:rsid w:val="668D2269"/>
    <w:rsid w:val="673B1CC5"/>
    <w:rsid w:val="673D3E87"/>
    <w:rsid w:val="6A3169CD"/>
    <w:rsid w:val="6B0514FA"/>
    <w:rsid w:val="6C5D3D48"/>
    <w:rsid w:val="6CBF1672"/>
    <w:rsid w:val="6D293D1B"/>
    <w:rsid w:val="6D5A4E0D"/>
    <w:rsid w:val="6DEE0BC7"/>
    <w:rsid w:val="6DF01C95"/>
    <w:rsid w:val="6E472442"/>
    <w:rsid w:val="6E4F4167"/>
    <w:rsid w:val="6EB7319D"/>
    <w:rsid w:val="6EF42AB9"/>
    <w:rsid w:val="6F4862DB"/>
    <w:rsid w:val="6FF57D4B"/>
    <w:rsid w:val="702F0D23"/>
    <w:rsid w:val="70EC3B37"/>
    <w:rsid w:val="715100D4"/>
    <w:rsid w:val="7159440F"/>
    <w:rsid w:val="721C178C"/>
    <w:rsid w:val="72A52C50"/>
    <w:rsid w:val="72B47365"/>
    <w:rsid w:val="72DB61E2"/>
    <w:rsid w:val="733C6346"/>
    <w:rsid w:val="73614861"/>
    <w:rsid w:val="73A81741"/>
    <w:rsid w:val="73B24FB7"/>
    <w:rsid w:val="74056EF3"/>
    <w:rsid w:val="74166C50"/>
    <w:rsid w:val="75097890"/>
    <w:rsid w:val="75660855"/>
    <w:rsid w:val="765011BE"/>
    <w:rsid w:val="76B9737A"/>
    <w:rsid w:val="7764123C"/>
    <w:rsid w:val="776E1391"/>
    <w:rsid w:val="782F2702"/>
    <w:rsid w:val="7A6D5EA5"/>
    <w:rsid w:val="7B2F16E9"/>
    <w:rsid w:val="7B694904"/>
    <w:rsid w:val="7C4527B1"/>
    <w:rsid w:val="7D4F331C"/>
    <w:rsid w:val="7DE5259F"/>
    <w:rsid w:val="7E6949C0"/>
    <w:rsid w:val="7EAE621F"/>
    <w:rsid w:val="7FC537B7"/>
    <w:rsid w:val="7FED1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qFormat/>
    <w:uiPriority w:val="0"/>
    <w:pPr>
      <w:tabs>
        <w:tab w:val="left" w:pos="360"/>
        <w:tab w:val="left" w:pos="2207"/>
      </w:tabs>
      <w:spacing w:line="480" w:lineRule="exact"/>
      <w:ind w:firstLine="0" w:firstLineChars="0"/>
      <w:outlineLvl w:val="3"/>
    </w:pPr>
    <w:rPr>
      <w:rFonts w:ascii="宋体" w:hAnsi="宋体"/>
      <w:b/>
      <w:snapToGrid/>
      <w:color w:val="000000"/>
      <w:sz w:val="24"/>
    </w:rPr>
  </w:style>
  <w:style w:type="paragraph" w:styleId="4">
    <w:name w:val="heading 5"/>
    <w:basedOn w:val="1"/>
    <w:next w:val="1"/>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rPr>
      <w:rFonts w:ascii="Times New Roman" w:hAnsi="Times New Roman"/>
      <w:szCs w:val="24"/>
    </w:rPr>
  </w:style>
  <w:style w:type="paragraph" w:styleId="6">
    <w:name w:val="Body Text"/>
    <w:basedOn w:val="1"/>
    <w:next w:val="1"/>
    <w:qFormat/>
    <w:uiPriority w:val="0"/>
    <w:pPr>
      <w:ind w:left="153"/>
    </w:pPr>
    <w:rPr>
      <w:rFonts w:ascii="宋体" w:hAnsi="宋体" w:eastAsia="宋体"/>
      <w:sz w:val="25"/>
      <w:szCs w:val="25"/>
    </w:rPr>
  </w:style>
  <w:style w:type="paragraph" w:styleId="7">
    <w:name w:val="caption"/>
    <w:basedOn w:val="1"/>
    <w:next w:val="1"/>
    <w:qFormat/>
    <w:uiPriority w:val="0"/>
    <w:pPr>
      <w:spacing w:before="160" w:after="160" w:line="288" w:lineRule="auto"/>
      <w:ind w:firstLine="510"/>
      <w:jc w:val="center"/>
    </w:pPr>
    <w:rPr>
      <w:rFonts w:ascii="Arial" w:hAnsi="Arial" w:eastAsia="黑体"/>
      <w:sz w:val="24"/>
    </w:rPr>
  </w:style>
  <w:style w:type="paragraph" w:styleId="8">
    <w:name w:val="index 5"/>
    <w:basedOn w:val="1"/>
    <w:next w:val="1"/>
    <w:qFormat/>
    <w:uiPriority w:val="0"/>
    <w:pPr>
      <w:ind w:left="800" w:leftChars="800"/>
    </w:pPr>
  </w:style>
  <w:style w:type="paragraph" w:styleId="9">
    <w:name w:val="annotation text"/>
    <w:basedOn w:val="1"/>
    <w:qFormat/>
    <w:uiPriority w:val="0"/>
    <w:pPr>
      <w:jc w:val="left"/>
    </w:pPr>
  </w:style>
  <w:style w:type="paragraph" w:styleId="10">
    <w:name w:val="Body Text Indent"/>
    <w:basedOn w:val="1"/>
    <w:next w:val="11"/>
    <w:qFormat/>
    <w:uiPriority w:val="0"/>
    <w:pPr>
      <w:spacing w:after="120"/>
      <w:ind w:left="420" w:leftChars="200"/>
    </w:pPr>
    <w:rPr>
      <w:kern w:val="0"/>
      <w:sz w:val="24"/>
      <w:szCs w:val="20"/>
    </w:rPr>
  </w:style>
  <w:style w:type="paragraph" w:customStyle="1" w:styleId="11">
    <w:name w:val="样式 正文文本缩进 + 行距: 1.5 倍行距"/>
    <w:basedOn w:val="1"/>
    <w:qFormat/>
    <w:uiPriority w:val="0"/>
    <w:pPr>
      <w:spacing w:after="120" w:line="360" w:lineRule="auto"/>
      <w:ind w:left="90" w:leftChars="32" w:firstLine="560" w:firstLineChars="200"/>
    </w:pPr>
    <w:rPr>
      <w:rFonts w:ascii="Calibri" w:hAnsi="Calibri" w:cs="宋体"/>
      <w:szCs w:val="24"/>
    </w:rPr>
  </w:style>
  <w:style w:type="paragraph" w:styleId="12">
    <w:name w:val="Block Text"/>
    <w:basedOn w:val="1"/>
    <w:next w:val="1"/>
    <w:unhideWhenUsed/>
    <w:qFormat/>
    <w:uiPriority w:val="0"/>
    <w:pPr>
      <w:spacing w:after="120"/>
      <w:ind w:left="1440" w:leftChars="700" w:right="1440" w:rightChars="700"/>
    </w:pPr>
  </w:style>
  <w:style w:type="paragraph" w:styleId="13">
    <w:name w:val="Plain Text"/>
    <w:basedOn w:val="1"/>
    <w:qFormat/>
    <w:uiPriority w:val="0"/>
    <w:rPr>
      <w:rFonts w:hAnsi="Courier New"/>
      <w:kern w:val="2"/>
      <w:sz w:val="21"/>
    </w:rPr>
  </w:style>
  <w:style w:type="paragraph" w:styleId="14">
    <w:name w:val="Body Text Indent 2"/>
    <w:basedOn w:val="1"/>
    <w:qFormat/>
    <w:uiPriority w:val="0"/>
    <w:pPr>
      <w:spacing w:before="120" w:beforeLines="0"/>
      <w:ind w:right="113" w:firstLine="570"/>
    </w:pPr>
    <w:rPr>
      <w:kern w:val="24"/>
      <w:sz w:val="28"/>
      <w:szCs w:val="20"/>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Subtitle"/>
    <w:basedOn w:val="1"/>
    <w:next w:val="1"/>
    <w:qFormat/>
    <w:uiPriority w:val="0"/>
    <w:pPr>
      <w:ind w:firstLine="0" w:firstLineChars="0"/>
      <w:jc w:val="center"/>
    </w:pPr>
    <w:rPr>
      <w:b/>
      <w:sz w:val="21"/>
    </w:rPr>
  </w:style>
  <w:style w:type="paragraph" w:styleId="19">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0">
    <w:name w:val="HTML Preformatted"/>
    <w:basedOn w:val="1"/>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微软雅黑" w:hAnsi="微软雅黑" w:eastAsia="微软雅黑" w:cs="微软雅黑"/>
      <w:kern w:val="0"/>
      <w:sz w:val="24"/>
      <w:szCs w:val="24"/>
      <w:lang w:val="en-US" w:eastAsia="zh-CN" w:bidi="ar"/>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6"/>
    <w:next w:val="1"/>
    <w:qFormat/>
    <w:uiPriority w:val="0"/>
    <w:pPr>
      <w:ind w:firstLine="420" w:firstLineChars="100"/>
    </w:pPr>
    <w:rPr>
      <w:szCs w:val="24"/>
    </w:rPr>
  </w:style>
  <w:style w:type="paragraph" w:styleId="23">
    <w:name w:val="Body Text First Indent 2"/>
    <w:basedOn w:val="10"/>
    <w:next w:val="22"/>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qFormat/>
    <w:uiPriority w:val="0"/>
    <w:rPr>
      <w:rFonts w:eastAsia="宋体"/>
      <w:color w:val="0000FF"/>
      <w:sz w:val="24"/>
      <w:szCs w:val="24"/>
      <w:u w:val="none"/>
    </w:rPr>
  </w:style>
  <w:style w:type="character" w:styleId="30">
    <w:name w:val="annotation reference"/>
    <w:basedOn w:val="26"/>
    <w:qFormat/>
    <w:uiPriority w:val="0"/>
    <w:rPr>
      <w:sz w:val="21"/>
      <w:szCs w:val="21"/>
    </w:rPr>
  </w:style>
  <w:style w:type="paragraph" w:customStyle="1" w:styleId="31">
    <w:name w:val="表头"/>
    <w:basedOn w:val="1"/>
    <w:next w:val="1"/>
    <w:link w:val="48"/>
    <w:qFormat/>
    <w:uiPriority w:val="0"/>
    <w:pPr>
      <w:ind w:firstLine="0" w:firstLineChars="0"/>
      <w:jc w:val="center"/>
    </w:pPr>
    <w:rPr>
      <w:b/>
      <w:sz w:val="21"/>
    </w:rPr>
  </w:style>
  <w:style w:type="paragraph" w:customStyle="1" w:styleId="32">
    <w:name w:val="表格"/>
    <w:basedOn w:val="33"/>
    <w:next w:val="1"/>
    <w:qFormat/>
    <w:uiPriority w:val="0"/>
    <w:pPr>
      <w:spacing w:line="240" w:lineRule="auto"/>
      <w:ind w:firstLine="0" w:firstLineChars="0"/>
      <w:jc w:val="center"/>
    </w:pPr>
    <w:rPr>
      <w:rFonts w:ascii="Times New Roman" w:hAnsi="Times New Roman" w:eastAsia="宋体"/>
      <w:sz w:val="21"/>
      <w:szCs w:val="21"/>
    </w:rPr>
  </w:style>
  <w:style w:type="paragraph" w:customStyle="1" w:styleId="33">
    <w:name w:val="正文1"/>
    <w:basedOn w:val="1"/>
    <w:next w:val="1"/>
    <w:qFormat/>
    <w:uiPriority w:val="0"/>
    <w:pPr>
      <w:spacing w:before="78" w:after="78" w:line="360" w:lineRule="auto"/>
      <w:ind w:firstLine="480"/>
    </w:pPr>
    <w:rPr>
      <w:kern w:val="1"/>
      <w:sz w:val="24"/>
    </w:rPr>
  </w:style>
  <w:style w:type="paragraph" w:customStyle="1" w:styleId="34">
    <w:name w:val="封皮"/>
    <w:basedOn w:val="1"/>
    <w:qFormat/>
    <w:uiPriority w:val="0"/>
    <w:pPr>
      <w:spacing w:line="240" w:lineRule="auto"/>
      <w:ind w:firstLine="0" w:firstLineChars="0"/>
      <w:jc w:val="center"/>
    </w:pPr>
    <w:rPr>
      <w:b/>
      <w:sz w:val="72"/>
    </w:rPr>
  </w:style>
  <w:style w:type="paragraph" w:customStyle="1" w:styleId="35">
    <w:name w:val="Table Paragraph"/>
    <w:basedOn w:val="1"/>
    <w:qFormat/>
    <w:uiPriority w:val="1"/>
    <w:pPr>
      <w:autoSpaceDE w:val="0"/>
      <w:autoSpaceDN w:val="0"/>
      <w:adjustRightInd w:val="0"/>
      <w:jc w:val="left"/>
    </w:pPr>
    <w:rPr>
      <w:kern w:val="0"/>
      <w:sz w:val="24"/>
    </w:rPr>
  </w:style>
  <w:style w:type="paragraph" w:styleId="36">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37">
    <w:name w:val="正文文本 (2) + 9.5 pt"/>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38">
    <w:name w:val="正文文本 (2) + AngsanaUPC"/>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39">
    <w:name w:val="font31"/>
    <w:basedOn w:val="26"/>
    <w:qFormat/>
    <w:uiPriority w:val="0"/>
    <w:rPr>
      <w:rFonts w:hint="eastAsia" w:ascii="宋体" w:hAnsi="宋体" w:eastAsia="宋体" w:cs="宋体"/>
      <w:color w:val="000000"/>
      <w:sz w:val="24"/>
      <w:szCs w:val="24"/>
      <w:u w:val="none"/>
    </w:rPr>
  </w:style>
  <w:style w:type="paragraph" w:customStyle="1" w:styleId="40">
    <w:name w:val="列出段落1"/>
    <w:basedOn w:val="1"/>
    <w:qFormat/>
    <w:uiPriority w:val="0"/>
    <w:pPr>
      <w:ind w:firstLine="420" w:firstLineChars="200"/>
    </w:pPr>
    <w:rPr>
      <w:rFonts w:ascii="Calibri" w:hAnsi="Calibri" w:eastAsia="宋体"/>
    </w:rPr>
  </w:style>
  <w:style w:type="paragraph" w:customStyle="1" w:styleId="41">
    <w:name w:val="(.a表格内容"/>
    <w:basedOn w:val="42"/>
    <w:qFormat/>
    <w:uiPriority w:val="0"/>
    <w:pPr>
      <w:spacing w:line="0" w:lineRule="atLeast"/>
      <w:jc w:val="center"/>
    </w:pPr>
    <w:rPr>
      <w:sz w:val="21"/>
    </w:rPr>
  </w:style>
  <w:style w:type="paragraph" w:customStyle="1" w:styleId="42">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43">
    <w:name w:val="我的表格"/>
    <w:basedOn w:val="1"/>
    <w:qFormat/>
    <w:uiPriority w:val="0"/>
    <w:pPr>
      <w:spacing w:line="240" w:lineRule="auto"/>
      <w:ind w:firstLine="0" w:firstLineChars="0"/>
      <w:jc w:val="center"/>
    </w:pPr>
    <w:rPr>
      <w:rFonts w:ascii="Times New Roman" w:hAnsi="Times New Roman"/>
      <w:sz w:val="21"/>
      <w:szCs w:val="21"/>
    </w:rPr>
  </w:style>
  <w:style w:type="paragraph" w:customStyle="1" w:styleId="44">
    <w:name w:val="正常格式"/>
    <w:basedOn w:val="45"/>
    <w:qFormat/>
    <w:uiPriority w:val="0"/>
    <w:pPr>
      <w:snapToGrid w:val="0"/>
      <w:spacing w:line="480" w:lineRule="exact"/>
      <w:ind w:firstLine="602"/>
    </w:pPr>
    <w:rPr>
      <w:rFonts w:ascii="Times New Roman" w:hAnsi="Times New Roman" w:eastAsia="方正仿宋_GB2312"/>
      <w:kern w:val="0"/>
      <w:szCs w:val="20"/>
    </w:rPr>
  </w:style>
  <w:style w:type="paragraph" w:customStyle="1" w:styleId="45">
    <w:name w:val="正文2"/>
    <w:basedOn w:val="46"/>
    <w:qFormat/>
    <w:uiPriority w:val="0"/>
    <w:pPr>
      <w:spacing w:line="360" w:lineRule="auto"/>
      <w:ind w:firstLine="480" w:firstLineChars="200"/>
    </w:pPr>
    <w:rPr>
      <w:rFonts w:ascii="宋体" w:hAnsi="宋体"/>
      <w:sz w:val="24"/>
    </w:rPr>
  </w:style>
  <w:style w:type="paragraph" w:customStyle="1" w:styleId="46">
    <w:name w:val="Body Text 22"/>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47">
    <w:name w:val="正文文本 (2)"/>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character" w:customStyle="1" w:styleId="48">
    <w:name w:val="表头 Char"/>
    <w:link w:val="31"/>
    <w:qFormat/>
    <w:uiPriority w:val="0"/>
    <w:rPr>
      <w:rFonts w:ascii="Times New Roman" w:hAnsi="Times New Roman" w:eastAsia="宋体"/>
      <w:b/>
      <w:sz w:val="21"/>
    </w:rPr>
  </w:style>
  <w:style w:type="paragraph" w:customStyle="1" w:styleId="49">
    <w:name w:val="样式 正文文字 + 首行缩进:  2 字符 行距: 最小值 24 磅"/>
    <w:basedOn w:val="1"/>
    <w:qFormat/>
    <w:uiPriority w:val="0"/>
    <w:pPr>
      <w:adjustRightInd w:val="0"/>
      <w:snapToGrid w:val="0"/>
      <w:spacing w:line="480" w:lineRule="atLeast"/>
      <w:ind w:firstLine="480" w:firstLineChars="200"/>
    </w:pPr>
    <w:rPr>
      <w:rFonts w:ascii="Times New Roman" w:hAnsi="Times New Roman" w:eastAsia="宋体" w:cs="宋体"/>
      <w:sz w:val="24"/>
      <w:szCs w:val="20"/>
    </w:rPr>
  </w:style>
  <w:style w:type="paragraph" w:customStyle="1" w:styleId="50">
    <w:name w:val="正"/>
    <w:basedOn w:val="1"/>
    <w:qFormat/>
    <w:uiPriority w:val="0"/>
    <w:pPr>
      <w:ind w:firstLine="200"/>
    </w:pPr>
    <w:rPr>
      <w:rFonts w:ascii="Times New Roman" w:hAnsi="Times New Roman" w:eastAsia="宋体" w:cs="Times New Roman"/>
      <w:sz w:val="24"/>
    </w:rPr>
  </w:style>
  <w:style w:type="paragraph" w:customStyle="1" w:styleId="51">
    <w:name w:val="a)"/>
    <w:basedOn w:val="1"/>
    <w:qFormat/>
    <w:uiPriority w:val="0"/>
    <w:pPr>
      <w:tabs>
        <w:tab w:val="left" w:pos="1134"/>
      </w:tabs>
      <w:adjustRightInd w:val="0"/>
      <w:spacing w:line="360" w:lineRule="auto"/>
      <w:ind w:firstLine="567"/>
      <w:textAlignment w:val="baseline"/>
    </w:pPr>
    <w:rPr>
      <w:rFonts w:ascii="Times New Roman"/>
      <w:spacing w:val="0"/>
      <w:kern w:val="0"/>
      <w:sz w:val="28"/>
      <w:szCs w:val="20"/>
    </w:rPr>
  </w:style>
  <w:style w:type="paragraph" w:customStyle="1" w:styleId="52">
    <w:name w:val="样式 样式 样式 四号 左侧:  1.53 厘米 + 首行缩进:  2 字符 + 居中 左侧:  2 字符 首行缩进:  2..."/>
    <w:basedOn w:val="1"/>
    <w:qFormat/>
    <w:uiPriority w:val="0"/>
    <w:pPr>
      <w:adjustRightInd w:val="0"/>
      <w:snapToGrid w:val="0"/>
      <w:spacing w:line="500" w:lineRule="exact"/>
      <w:ind w:left="200" w:leftChars="200"/>
      <w:jc w:val="center"/>
    </w:pPr>
    <w:rPr>
      <w:rFonts w:ascii="Times New Roman" w:eastAsia="华文中宋" w:cs="华康俪金黑W8"/>
      <w:spacing w:val="0"/>
      <w:w w:val="90"/>
      <w:kern w:val="2"/>
    </w:rPr>
  </w:style>
  <w:style w:type="paragraph" w:customStyle="1" w:styleId="53">
    <w:name w:val="2.1.1"/>
    <w:basedOn w:val="1"/>
    <w:qFormat/>
    <w:uiPriority w:val="0"/>
    <w:rPr>
      <w:rFonts w:ascii="Times New Roman"/>
      <w:sz w:val="24"/>
    </w:rPr>
  </w:style>
  <w:style w:type="paragraph" w:customStyle="1" w:styleId="54">
    <w:name w:val="Default"/>
    <w:basedOn w:val="55"/>
    <w:next w:val="8"/>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55">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56">
    <w:name w:val="样式 四号 首行缩进:  2 字符"/>
    <w:basedOn w:val="1"/>
    <w:qFormat/>
    <w:uiPriority w:val="0"/>
    <w:pPr>
      <w:spacing w:line="480" w:lineRule="atLeast"/>
      <w:ind w:firstLine="480" w:firstLineChars="200"/>
    </w:pPr>
    <w:rPr>
      <w:rFonts w:ascii="Times New Roman"/>
      <w:sz w:val="24"/>
    </w:rPr>
  </w:style>
  <w:style w:type="paragraph" w:customStyle="1" w:styleId="57">
    <w:name w:val="表格内容"/>
    <w:basedOn w:val="1"/>
    <w:next w:val="1"/>
    <w:qFormat/>
    <w:uiPriority w:val="0"/>
    <w:pPr>
      <w:spacing w:line="320" w:lineRule="exact"/>
      <w:ind w:firstLine="0" w:firstLineChars="0"/>
      <w:jc w:val="center"/>
    </w:pPr>
    <w:rPr>
      <w:sz w:val="21"/>
    </w:rPr>
  </w:style>
  <w:style w:type="paragraph" w:customStyle="1" w:styleId="58">
    <w:name w:val="表格标题"/>
    <w:basedOn w:val="1"/>
    <w:next w:val="1"/>
    <w:qFormat/>
    <w:uiPriority w:val="0"/>
    <w:pPr>
      <w:ind w:firstLine="0" w:firstLineChars="0"/>
      <w:jc w:val="center"/>
    </w:pPr>
    <w:rPr>
      <w:b/>
    </w:rPr>
  </w:style>
  <w:style w:type="table" w:customStyle="1" w:styleId="59">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1]正文"/>
    <w:basedOn w:val="1"/>
    <w:qFormat/>
    <w:uiPriority w:val="0"/>
    <w:pPr>
      <w:widowControl/>
      <w:snapToGrid w:val="0"/>
      <w:ind w:firstLine="200"/>
      <w:jc w:val="left"/>
    </w:pPr>
    <w:rPr>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wmf"/><Relationship Id="rId23" Type="http://schemas.openxmlformats.org/officeDocument/2006/relationships/oleObject" Target="embeddings/oleObject4.bin"/><Relationship Id="rId22" Type="http://schemas.openxmlformats.org/officeDocument/2006/relationships/image" Target="media/image8.wmf"/><Relationship Id="rId21" Type="http://schemas.openxmlformats.org/officeDocument/2006/relationships/oleObject" Target="embeddings/oleObject3.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6.wmf"/><Relationship Id="rId17" Type="http://schemas.openxmlformats.org/officeDocument/2006/relationships/oleObject" Target="embeddings/oleObject1.bin"/><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55919</Words>
  <Characters>64361</Characters>
  <Lines>0</Lines>
  <Paragraphs>0</Paragraphs>
  <TotalTime>1</TotalTime>
  <ScaleCrop>false</ScaleCrop>
  <LinksUpToDate>false</LinksUpToDate>
  <CharactersWithSpaces>64827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2021-12-08T03:54:00Z</dcterms:created>
  <dc:creator>Administrator</dc:creator>
  <cp:lastModifiedBy>Administrator</cp:lastModifiedBy>
  <cp:lastPrinted>2022-01-08T12:42:00Z</cp:lastPrinted>
  <dcterms:modified xsi:type="dcterms:W3CDTF">2023-07-04T11:18:25Z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01548A023940404EB991DC9B36757F50</vt:lpwstr>
  </property>
</Properties>
</file>