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25"/>
        <w:tabs>
          <w:tab w:val="right" w:leader="dot" w:pos="14562"/>
        </w:tabs>
        <w:rPr>
          <w:rFonts w:hint="eastAsia" w:eastAsiaTheme="minorEastAsia"/>
          <w:lang w:eastAsia="zh-CN"/>
        </w:rPr>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w:t>
      </w:r>
      <w:r>
        <w:rPr>
          <w:rFonts w:hint="eastAsia" w:eastAsiaTheme="minorEastAsia"/>
          <w:lang w:eastAsia="zh-CN"/>
        </w:rPr>
        <w:t>7</w:t>
      </w:r>
      <w:r>
        <w:fldChar w:fldCharType="end"/>
      </w:r>
      <w:r>
        <w:fldChar w:fldCharType="end"/>
      </w:r>
    </w:p>
    <w:p>
      <w:pPr>
        <w:pStyle w:val="25"/>
        <w:tabs>
          <w:tab w:val="right" w:leader="dot" w:pos="14562"/>
        </w:tabs>
        <w:rPr>
          <w:rFonts w:hint="eastAsia" w:eastAsiaTheme="minorEastAsia"/>
          <w:lang w:eastAsia="zh-CN"/>
        </w:rPr>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w:t>
      </w:r>
      <w:r>
        <w:rPr>
          <w:rFonts w:hint="eastAsia" w:eastAsiaTheme="minorEastAsia"/>
          <w:lang w:eastAsia="zh-CN"/>
        </w:rPr>
        <w:t>8</w:t>
      </w:r>
      <w:r>
        <w:fldChar w:fldCharType="end"/>
      </w:r>
      <w:r>
        <w:fldChar w:fldCharType="end"/>
      </w:r>
    </w:p>
    <w:p>
      <w:pPr>
        <w:pStyle w:val="25"/>
        <w:tabs>
          <w:tab w:val="right" w:leader="dot" w:pos="14562"/>
        </w:tabs>
      </w:pPr>
      <w:r>
        <w:fldChar w:fldCharType="begin"/>
      </w:r>
      <w:r>
        <w:instrText xml:space="preserve"> HYPERLINK \l "_Toc_3_3_0000000017" </w:instrText>
      </w:r>
      <w:r>
        <w:fldChar w:fldCharType="separate"/>
      </w:r>
      <w:r>
        <w:t>八、政府采购预算情况</w:t>
      </w:r>
      <w:r>
        <w:tab/>
      </w:r>
      <w:r>
        <w:rPr>
          <w:rFonts w:hint="eastAsia" w:eastAsiaTheme="minorEastAsia"/>
          <w:lang w:eastAsia="zh-CN"/>
        </w:rPr>
        <w:t>20</w:t>
      </w:r>
      <w:r>
        <w:rPr>
          <w:rFonts w:hint="eastAsia" w:eastAsiaTheme="minorEastAsia"/>
          <w:lang w:eastAsia="zh-CN"/>
        </w:rPr>
        <w:fldChar w:fldCharType="end"/>
      </w:r>
    </w:p>
    <w:p>
      <w:pPr>
        <w:pStyle w:val="25"/>
        <w:tabs>
          <w:tab w:val="right" w:leader="dot" w:pos="14562"/>
        </w:tabs>
      </w:pPr>
      <w:r>
        <w:fldChar w:fldCharType="begin"/>
      </w:r>
      <w:r>
        <w:instrText xml:space="preserve"> HYPERLINK \l "_Toc_3_3_0000000018" </w:instrText>
      </w:r>
      <w:r>
        <w:fldChar w:fldCharType="separate"/>
      </w:r>
      <w:r>
        <w:t>九、国有资产信息</w:t>
      </w:r>
      <w:r>
        <w:tab/>
      </w:r>
      <w:r>
        <w:rPr>
          <w:rFonts w:hint="eastAsia" w:eastAsiaTheme="minorEastAsia"/>
          <w:lang w:eastAsia="zh-CN"/>
        </w:rPr>
        <w:t>20</w:t>
      </w:r>
      <w:r>
        <w:rPr>
          <w:rFonts w:hint="eastAsia" w:eastAsiaTheme="minorEastAsia"/>
          <w:lang w:eastAsia="zh-CN"/>
        </w:rPr>
        <w:fldChar w:fldCharType="end"/>
      </w:r>
    </w:p>
    <w:p>
      <w:pPr>
        <w:pStyle w:val="25"/>
        <w:tabs>
          <w:tab w:val="right" w:leader="dot" w:pos="14562"/>
        </w:tabs>
      </w:pPr>
      <w:r>
        <w:fldChar w:fldCharType="begin"/>
      </w:r>
      <w:r>
        <w:instrText xml:space="preserve"> HYPERLINK \l "_Toc_3_3_0000000019" </w:instrText>
      </w:r>
      <w:r>
        <w:fldChar w:fldCharType="separate"/>
      </w:r>
      <w:r>
        <w:t>十、名词解释</w:t>
      </w:r>
      <w:r>
        <w:tab/>
      </w:r>
      <w:r>
        <w:rPr>
          <w:rFonts w:hint="eastAsia" w:eastAsiaTheme="minorEastAsia"/>
          <w:lang w:eastAsia="zh-CN"/>
        </w:rPr>
        <w:t>20</w:t>
      </w:r>
      <w:r>
        <w:rPr>
          <w:rFonts w:hint="eastAsia" w:eastAsiaTheme="minorEastAsia"/>
          <w:lang w:eastAsia="zh-CN"/>
        </w:rPr>
        <w:fldChar w:fldCharType="end"/>
      </w:r>
    </w:p>
    <w:p>
      <w:pPr>
        <w:pStyle w:val="25"/>
        <w:tabs>
          <w:tab w:val="right" w:leader="dot" w:pos="14562"/>
        </w:tabs>
      </w:pPr>
      <w:r>
        <w:fldChar w:fldCharType="begin"/>
      </w:r>
      <w:r>
        <w:instrText xml:space="preserve"> HYPERLINK \l "_Toc_3_3_0000000020" </w:instrText>
      </w:r>
      <w:r>
        <w:fldChar w:fldCharType="separate"/>
      </w:r>
      <w:r>
        <w:t>十一、其他需要说明的事项</w:t>
      </w:r>
      <w:r>
        <w:tab/>
      </w:r>
      <w:r>
        <w:rPr>
          <w:rFonts w:hint="eastAsia" w:eastAsiaTheme="minorEastAsia"/>
          <w:lang w:eastAsia="zh-CN"/>
        </w:rPr>
        <w:t>22</w:t>
      </w:r>
      <w:r>
        <w:rPr>
          <w:rFonts w:hint="eastAsia" w:eastAsiaTheme="minorEastAsia"/>
          <w:lang w:eastAsia="zh-CN"/>
        </w:rP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137唐山高新技术产业开发区人民法院</w:t>
            </w:r>
          </w:p>
        </w:tc>
        <w:tc>
          <w:tcPr>
            <w:tcW w:w="2126" w:type="dxa"/>
            <w:tcBorders>
              <w:top w:val="single" w:color="FFFFFF" w:sz="6" w:space="0"/>
              <w:left w:val="single" w:color="FFFFFF" w:sz="6" w:space="0"/>
              <w:right w:val="single" w:color="FFFFFF" w:sz="6" w:space="0"/>
            </w:tcBorders>
            <w:vAlign w:val="center"/>
          </w:tcPr>
          <w:p>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796.44</w:t>
            </w:r>
          </w:p>
        </w:tc>
        <w:tc>
          <w:tcPr>
            <w:tcW w:w="4535" w:type="dxa"/>
            <w:vAlign w:val="center"/>
          </w:tcPr>
          <w:p>
            <w:pPr>
              <w:pStyle w:val="10"/>
            </w:pPr>
            <w:r>
              <w:t>一、一般公共服务支出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r>
              <w:t>796.44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796.44</w:t>
            </w:r>
          </w:p>
        </w:tc>
        <w:tc>
          <w:tcPr>
            <w:tcW w:w="4535" w:type="dxa"/>
            <w:vAlign w:val="center"/>
          </w:tcPr>
          <w:p>
            <w:pPr>
              <w:pStyle w:val="12"/>
            </w:pPr>
            <w:r>
              <w:t>本年支出合计</w:t>
            </w:r>
          </w:p>
        </w:tc>
        <w:tc>
          <w:tcPr>
            <w:tcW w:w="2126" w:type="dxa"/>
            <w:vAlign w:val="center"/>
          </w:tcPr>
          <w:p>
            <w:pPr>
              <w:pStyle w:val="13"/>
            </w:pPr>
            <w:r>
              <w:t>796.44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796.44</w:t>
            </w:r>
          </w:p>
        </w:tc>
        <w:tc>
          <w:tcPr>
            <w:tcW w:w="4535" w:type="dxa"/>
            <w:vAlign w:val="center"/>
          </w:tcPr>
          <w:p>
            <w:pPr>
              <w:pStyle w:val="12"/>
            </w:pPr>
            <w:r>
              <w:t>支出总计</w:t>
            </w:r>
          </w:p>
        </w:tc>
        <w:tc>
          <w:tcPr>
            <w:tcW w:w="2126" w:type="dxa"/>
            <w:vAlign w:val="center"/>
          </w:tcPr>
          <w:p>
            <w:pPr>
              <w:pStyle w:val="13"/>
            </w:pPr>
            <w:r>
              <w:t>796.44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137唐山高新技术产业开发区人民法院</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1"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796.44</w:t>
            </w:r>
          </w:p>
        </w:tc>
        <w:tc>
          <w:tcPr>
            <w:tcW w:w="1134" w:type="dxa"/>
            <w:vAlign w:val="center"/>
          </w:tcPr>
          <w:p>
            <w:pPr>
              <w:pStyle w:val="13"/>
            </w:pPr>
            <w:r>
              <w:t>796.44</w:t>
            </w:r>
          </w:p>
        </w:tc>
        <w:tc>
          <w:tcPr>
            <w:tcW w:w="1134" w:type="dxa"/>
            <w:vAlign w:val="center"/>
          </w:tcPr>
          <w:p>
            <w:pPr>
              <w:pStyle w:val="13"/>
            </w:pPr>
            <w:r>
              <w:t>796.44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204</w:t>
            </w:r>
          </w:p>
        </w:tc>
        <w:tc>
          <w:tcPr>
            <w:tcW w:w="1559" w:type="dxa"/>
            <w:vAlign w:val="center"/>
          </w:tcPr>
          <w:p>
            <w:pPr>
              <w:pStyle w:val="10"/>
            </w:pPr>
            <w:r>
              <w:t>公共安全支出</w:t>
            </w:r>
          </w:p>
        </w:tc>
        <w:tc>
          <w:tcPr>
            <w:tcW w:w="1134" w:type="dxa"/>
            <w:vAlign w:val="center"/>
          </w:tcPr>
          <w:p>
            <w:pPr>
              <w:pStyle w:val="9"/>
            </w:pPr>
            <w:r>
              <w:t>796.44</w:t>
            </w:r>
          </w:p>
        </w:tc>
        <w:tc>
          <w:tcPr>
            <w:tcW w:w="1134" w:type="dxa"/>
            <w:vAlign w:val="center"/>
          </w:tcPr>
          <w:p>
            <w:pPr>
              <w:pStyle w:val="9"/>
            </w:pPr>
            <w:r>
              <w:t>796.44</w:t>
            </w:r>
          </w:p>
        </w:tc>
        <w:tc>
          <w:tcPr>
            <w:tcW w:w="1134" w:type="dxa"/>
            <w:vAlign w:val="center"/>
          </w:tcPr>
          <w:p>
            <w:pPr>
              <w:pStyle w:val="9"/>
            </w:pPr>
            <w:r>
              <w:t>796.44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20405</w:t>
            </w:r>
          </w:p>
        </w:tc>
        <w:tc>
          <w:tcPr>
            <w:tcW w:w="1559" w:type="dxa"/>
            <w:vAlign w:val="center"/>
          </w:tcPr>
          <w:p>
            <w:pPr>
              <w:pStyle w:val="10"/>
            </w:pPr>
            <w:r>
              <w:t>法院</w:t>
            </w:r>
          </w:p>
        </w:tc>
        <w:tc>
          <w:tcPr>
            <w:tcW w:w="1134" w:type="dxa"/>
            <w:vAlign w:val="center"/>
          </w:tcPr>
          <w:p>
            <w:pPr>
              <w:pStyle w:val="9"/>
            </w:pPr>
            <w:r>
              <w:t>796.44</w:t>
            </w:r>
          </w:p>
        </w:tc>
        <w:tc>
          <w:tcPr>
            <w:tcW w:w="1134" w:type="dxa"/>
            <w:vAlign w:val="center"/>
          </w:tcPr>
          <w:p>
            <w:pPr>
              <w:pStyle w:val="9"/>
            </w:pPr>
            <w:r>
              <w:t>796.44</w:t>
            </w:r>
          </w:p>
        </w:tc>
        <w:tc>
          <w:tcPr>
            <w:tcW w:w="1134" w:type="dxa"/>
            <w:vAlign w:val="center"/>
          </w:tcPr>
          <w:p>
            <w:pPr>
              <w:pStyle w:val="9"/>
            </w:pPr>
            <w:r>
              <w:t>796.44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2040501</w:t>
            </w:r>
          </w:p>
        </w:tc>
        <w:tc>
          <w:tcPr>
            <w:tcW w:w="1559" w:type="dxa"/>
            <w:vAlign w:val="center"/>
          </w:tcPr>
          <w:p>
            <w:pPr>
              <w:pStyle w:val="10"/>
            </w:pPr>
            <w:r>
              <w:t>行政运行</w:t>
            </w:r>
          </w:p>
        </w:tc>
        <w:tc>
          <w:tcPr>
            <w:tcW w:w="1134" w:type="dxa"/>
            <w:vAlign w:val="center"/>
          </w:tcPr>
          <w:p>
            <w:pPr>
              <w:pStyle w:val="9"/>
            </w:pPr>
            <w:r>
              <w:t>100.44</w:t>
            </w:r>
          </w:p>
        </w:tc>
        <w:tc>
          <w:tcPr>
            <w:tcW w:w="1134" w:type="dxa"/>
            <w:vAlign w:val="center"/>
          </w:tcPr>
          <w:p>
            <w:pPr>
              <w:pStyle w:val="9"/>
            </w:pPr>
            <w:r>
              <w:t>100.44</w:t>
            </w:r>
          </w:p>
        </w:tc>
        <w:tc>
          <w:tcPr>
            <w:tcW w:w="1134" w:type="dxa"/>
            <w:vAlign w:val="center"/>
          </w:tcPr>
          <w:p>
            <w:pPr>
              <w:pStyle w:val="9"/>
            </w:pPr>
            <w:r>
              <w:t>100.44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2040502</w:t>
            </w:r>
          </w:p>
        </w:tc>
        <w:tc>
          <w:tcPr>
            <w:tcW w:w="1559" w:type="dxa"/>
            <w:vAlign w:val="center"/>
          </w:tcPr>
          <w:p>
            <w:pPr>
              <w:pStyle w:val="10"/>
            </w:pPr>
            <w:r>
              <w:t>一般行政管理事务</w:t>
            </w:r>
          </w:p>
        </w:tc>
        <w:tc>
          <w:tcPr>
            <w:tcW w:w="1134" w:type="dxa"/>
            <w:vAlign w:val="center"/>
          </w:tcPr>
          <w:p>
            <w:pPr>
              <w:pStyle w:val="9"/>
            </w:pPr>
            <w:r>
              <w:t>696.00</w:t>
            </w:r>
          </w:p>
        </w:tc>
        <w:tc>
          <w:tcPr>
            <w:tcW w:w="1134" w:type="dxa"/>
            <w:vAlign w:val="center"/>
          </w:tcPr>
          <w:p>
            <w:pPr>
              <w:pStyle w:val="9"/>
            </w:pPr>
            <w:r>
              <w:t>696.00</w:t>
            </w:r>
          </w:p>
        </w:tc>
        <w:tc>
          <w:tcPr>
            <w:tcW w:w="1134" w:type="dxa"/>
            <w:vAlign w:val="center"/>
          </w:tcPr>
          <w:p>
            <w:pPr>
              <w:pStyle w:val="9"/>
            </w:pPr>
            <w:r>
              <w:t>696.00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137唐山高新技术产业开发区人民法院</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796.44</w:t>
            </w:r>
          </w:p>
        </w:tc>
        <w:tc>
          <w:tcPr>
            <w:tcW w:w="1361" w:type="dxa"/>
            <w:vAlign w:val="center"/>
          </w:tcPr>
          <w:p>
            <w:pPr>
              <w:pStyle w:val="13"/>
            </w:pPr>
            <w:r>
              <w:t>100.44</w:t>
            </w:r>
          </w:p>
        </w:tc>
        <w:tc>
          <w:tcPr>
            <w:tcW w:w="1361" w:type="dxa"/>
            <w:vAlign w:val="center"/>
          </w:tcPr>
          <w:p>
            <w:pPr>
              <w:pStyle w:val="13"/>
            </w:pPr>
            <w:r>
              <w:t>696.00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204</w:t>
            </w:r>
          </w:p>
        </w:tc>
        <w:tc>
          <w:tcPr>
            <w:tcW w:w="4535" w:type="dxa"/>
            <w:vAlign w:val="center"/>
          </w:tcPr>
          <w:p>
            <w:pPr>
              <w:pStyle w:val="10"/>
            </w:pPr>
            <w:r>
              <w:t>公共安全支出</w:t>
            </w:r>
          </w:p>
        </w:tc>
        <w:tc>
          <w:tcPr>
            <w:tcW w:w="1361" w:type="dxa"/>
            <w:vAlign w:val="center"/>
          </w:tcPr>
          <w:p>
            <w:pPr>
              <w:pStyle w:val="9"/>
            </w:pPr>
            <w:r>
              <w:t>796.44</w:t>
            </w:r>
          </w:p>
        </w:tc>
        <w:tc>
          <w:tcPr>
            <w:tcW w:w="1361" w:type="dxa"/>
            <w:vAlign w:val="center"/>
          </w:tcPr>
          <w:p>
            <w:pPr>
              <w:pStyle w:val="9"/>
            </w:pPr>
            <w:r>
              <w:t>100.44</w:t>
            </w:r>
          </w:p>
        </w:tc>
        <w:tc>
          <w:tcPr>
            <w:tcW w:w="1361" w:type="dxa"/>
            <w:vAlign w:val="center"/>
          </w:tcPr>
          <w:p>
            <w:pPr>
              <w:pStyle w:val="9"/>
            </w:pPr>
            <w:r>
              <w:t>696.00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20405</w:t>
            </w:r>
          </w:p>
        </w:tc>
        <w:tc>
          <w:tcPr>
            <w:tcW w:w="4535" w:type="dxa"/>
            <w:vAlign w:val="center"/>
          </w:tcPr>
          <w:p>
            <w:pPr>
              <w:pStyle w:val="10"/>
            </w:pPr>
            <w:r>
              <w:t>法院</w:t>
            </w:r>
          </w:p>
        </w:tc>
        <w:tc>
          <w:tcPr>
            <w:tcW w:w="1361" w:type="dxa"/>
            <w:vAlign w:val="center"/>
          </w:tcPr>
          <w:p>
            <w:pPr>
              <w:pStyle w:val="9"/>
            </w:pPr>
            <w:r>
              <w:t>796.44</w:t>
            </w:r>
          </w:p>
        </w:tc>
        <w:tc>
          <w:tcPr>
            <w:tcW w:w="1361" w:type="dxa"/>
            <w:vAlign w:val="center"/>
          </w:tcPr>
          <w:p>
            <w:pPr>
              <w:pStyle w:val="9"/>
            </w:pPr>
            <w:r>
              <w:t>100.44</w:t>
            </w:r>
          </w:p>
        </w:tc>
        <w:tc>
          <w:tcPr>
            <w:tcW w:w="1361" w:type="dxa"/>
            <w:vAlign w:val="center"/>
          </w:tcPr>
          <w:p>
            <w:pPr>
              <w:pStyle w:val="9"/>
            </w:pPr>
            <w:r>
              <w:t>696.00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2040501</w:t>
            </w:r>
          </w:p>
        </w:tc>
        <w:tc>
          <w:tcPr>
            <w:tcW w:w="4535" w:type="dxa"/>
            <w:vAlign w:val="center"/>
          </w:tcPr>
          <w:p>
            <w:pPr>
              <w:pStyle w:val="10"/>
            </w:pPr>
            <w:r>
              <w:t>行政运行</w:t>
            </w:r>
          </w:p>
        </w:tc>
        <w:tc>
          <w:tcPr>
            <w:tcW w:w="1361" w:type="dxa"/>
            <w:vAlign w:val="center"/>
          </w:tcPr>
          <w:p>
            <w:pPr>
              <w:pStyle w:val="9"/>
            </w:pPr>
            <w:r>
              <w:t>100.44</w:t>
            </w:r>
          </w:p>
        </w:tc>
        <w:tc>
          <w:tcPr>
            <w:tcW w:w="1361" w:type="dxa"/>
            <w:vAlign w:val="center"/>
          </w:tcPr>
          <w:p>
            <w:pPr>
              <w:pStyle w:val="9"/>
            </w:pPr>
            <w:r>
              <w:t>100.44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2040502</w:t>
            </w:r>
          </w:p>
        </w:tc>
        <w:tc>
          <w:tcPr>
            <w:tcW w:w="4535" w:type="dxa"/>
            <w:vAlign w:val="center"/>
          </w:tcPr>
          <w:p>
            <w:pPr>
              <w:pStyle w:val="10"/>
            </w:pPr>
            <w:r>
              <w:t>一般行政管理事务</w:t>
            </w:r>
          </w:p>
        </w:tc>
        <w:tc>
          <w:tcPr>
            <w:tcW w:w="1361" w:type="dxa"/>
            <w:vAlign w:val="center"/>
          </w:tcPr>
          <w:p>
            <w:pPr>
              <w:pStyle w:val="9"/>
            </w:pPr>
            <w:r>
              <w:t>696.00</w:t>
            </w:r>
          </w:p>
        </w:tc>
        <w:tc>
          <w:tcPr>
            <w:tcW w:w="1361" w:type="dxa"/>
            <w:vAlign w:val="center"/>
          </w:tcPr>
          <w:p>
            <w:pPr>
              <w:pStyle w:val="9"/>
            </w:pPr>
          </w:p>
        </w:tc>
        <w:tc>
          <w:tcPr>
            <w:tcW w:w="1361" w:type="dxa"/>
            <w:vAlign w:val="center"/>
          </w:tcPr>
          <w:p>
            <w:pPr>
              <w:pStyle w:val="9"/>
            </w:pPr>
            <w:r>
              <w:t>696.00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137唐山高新技术产业开发区人民法院</w:t>
            </w:r>
          </w:p>
        </w:tc>
        <w:tc>
          <w:tcPr>
            <w:tcW w:w="3402" w:type="dxa"/>
            <w:tcBorders>
              <w:top w:val="single" w:color="FFFFFF" w:sz="6" w:space="0"/>
              <w:left w:val="single" w:color="FFFFFF" w:sz="6" w:space="0"/>
              <w:right w:val="single" w:color="FFFFFF" w:sz="6" w:space="0"/>
            </w:tcBorders>
            <w:vAlign w:val="center"/>
          </w:tcPr>
          <w:p>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796.44</w:t>
            </w:r>
          </w:p>
        </w:tc>
        <w:tc>
          <w:tcPr>
            <w:tcW w:w="3402" w:type="dxa"/>
            <w:vAlign w:val="center"/>
          </w:tcPr>
          <w:p>
            <w:pPr>
              <w:pStyle w:val="10"/>
            </w:pPr>
            <w:r>
              <w:t>一、一般公共服务支出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r>
              <w:t>796.44</w:t>
            </w:r>
          </w:p>
        </w:tc>
        <w:tc>
          <w:tcPr>
            <w:tcW w:w="1474" w:type="dxa"/>
            <w:vAlign w:val="center"/>
          </w:tcPr>
          <w:p>
            <w:pPr>
              <w:pStyle w:val="9"/>
            </w:pPr>
            <w:r>
              <w:t>796.44</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796.44</w:t>
            </w:r>
          </w:p>
        </w:tc>
        <w:tc>
          <w:tcPr>
            <w:tcW w:w="3402" w:type="dxa"/>
            <w:vAlign w:val="center"/>
          </w:tcPr>
          <w:p>
            <w:pPr>
              <w:pStyle w:val="12"/>
            </w:pPr>
            <w:r>
              <w:t>本年支出合计</w:t>
            </w:r>
          </w:p>
        </w:tc>
        <w:tc>
          <w:tcPr>
            <w:tcW w:w="1474" w:type="dxa"/>
            <w:vAlign w:val="center"/>
          </w:tcPr>
          <w:p>
            <w:pPr>
              <w:pStyle w:val="13"/>
            </w:pPr>
            <w:r>
              <w:t>796.44</w:t>
            </w:r>
          </w:p>
        </w:tc>
        <w:tc>
          <w:tcPr>
            <w:tcW w:w="1474" w:type="dxa"/>
            <w:vAlign w:val="center"/>
          </w:tcPr>
          <w:p>
            <w:pPr>
              <w:pStyle w:val="13"/>
            </w:pPr>
            <w:r>
              <w:t>796.44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796.44</w:t>
            </w:r>
          </w:p>
        </w:tc>
        <w:tc>
          <w:tcPr>
            <w:tcW w:w="3402" w:type="dxa"/>
            <w:vAlign w:val="center"/>
          </w:tcPr>
          <w:p>
            <w:pPr>
              <w:pStyle w:val="12"/>
            </w:pPr>
            <w:r>
              <w:t>支出总计</w:t>
            </w:r>
          </w:p>
        </w:tc>
        <w:tc>
          <w:tcPr>
            <w:tcW w:w="1474" w:type="dxa"/>
            <w:vAlign w:val="center"/>
          </w:tcPr>
          <w:p>
            <w:pPr>
              <w:pStyle w:val="13"/>
            </w:pPr>
            <w:r>
              <w:t>796.44</w:t>
            </w:r>
          </w:p>
        </w:tc>
        <w:tc>
          <w:tcPr>
            <w:tcW w:w="1474" w:type="dxa"/>
            <w:vAlign w:val="center"/>
          </w:tcPr>
          <w:p>
            <w:pPr>
              <w:pStyle w:val="13"/>
            </w:pPr>
            <w:r>
              <w:t>796.44</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137唐山高新技术产业开发区人民法院</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796.44</w:t>
            </w:r>
          </w:p>
        </w:tc>
        <w:tc>
          <w:tcPr>
            <w:tcW w:w="2551" w:type="dxa"/>
            <w:vAlign w:val="center"/>
          </w:tcPr>
          <w:p>
            <w:pPr>
              <w:pStyle w:val="13"/>
            </w:pPr>
            <w:r>
              <w:t>100.44</w:t>
            </w:r>
          </w:p>
        </w:tc>
        <w:tc>
          <w:tcPr>
            <w:tcW w:w="2551" w:type="dxa"/>
            <w:vAlign w:val="center"/>
          </w:tcPr>
          <w:p>
            <w:pPr>
              <w:pStyle w:val="13"/>
            </w:pPr>
            <w:r>
              <w:t>696.00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204</w:t>
            </w:r>
          </w:p>
        </w:tc>
        <w:tc>
          <w:tcPr>
            <w:tcW w:w="4535" w:type="dxa"/>
            <w:vAlign w:val="center"/>
          </w:tcPr>
          <w:p>
            <w:pPr>
              <w:pStyle w:val="10"/>
            </w:pPr>
            <w:r>
              <w:t>公共安全支出</w:t>
            </w:r>
          </w:p>
        </w:tc>
        <w:tc>
          <w:tcPr>
            <w:tcW w:w="2551" w:type="dxa"/>
            <w:vAlign w:val="center"/>
          </w:tcPr>
          <w:p>
            <w:pPr>
              <w:pStyle w:val="9"/>
            </w:pPr>
            <w:r>
              <w:t>796.44</w:t>
            </w:r>
          </w:p>
        </w:tc>
        <w:tc>
          <w:tcPr>
            <w:tcW w:w="2551" w:type="dxa"/>
            <w:vAlign w:val="center"/>
          </w:tcPr>
          <w:p>
            <w:pPr>
              <w:pStyle w:val="9"/>
            </w:pPr>
            <w:r>
              <w:t>100.44</w:t>
            </w:r>
          </w:p>
        </w:tc>
        <w:tc>
          <w:tcPr>
            <w:tcW w:w="2551" w:type="dxa"/>
            <w:vAlign w:val="center"/>
          </w:tcPr>
          <w:p>
            <w:pPr>
              <w:pStyle w:val="9"/>
            </w:pPr>
            <w:r>
              <w:t>696.00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20405</w:t>
            </w:r>
          </w:p>
        </w:tc>
        <w:tc>
          <w:tcPr>
            <w:tcW w:w="4535" w:type="dxa"/>
            <w:vAlign w:val="center"/>
          </w:tcPr>
          <w:p>
            <w:pPr>
              <w:pStyle w:val="10"/>
            </w:pPr>
            <w:r>
              <w:t>法院</w:t>
            </w:r>
          </w:p>
        </w:tc>
        <w:tc>
          <w:tcPr>
            <w:tcW w:w="2551" w:type="dxa"/>
            <w:vAlign w:val="center"/>
          </w:tcPr>
          <w:p>
            <w:pPr>
              <w:pStyle w:val="9"/>
            </w:pPr>
            <w:r>
              <w:t>796.44</w:t>
            </w:r>
          </w:p>
        </w:tc>
        <w:tc>
          <w:tcPr>
            <w:tcW w:w="2551" w:type="dxa"/>
            <w:vAlign w:val="center"/>
          </w:tcPr>
          <w:p>
            <w:pPr>
              <w:pStyle w:val="9"/>
            </w:pPr>
            <w:r>
              <w:t>100.44</w:t>
            </w:r>
          </w:p>
        </w:tc>
        <w:tc>
          <w:tcPr>
            <w:tcW w:w="2551" w:type="dxa"/>
            <w:vAlign w:val="center"/>
          </w:tcPr>
          <w:p>
            <w:pPr>
              <w:pStyle w:val="9"/>
            </w:pPr>
            <w:r>
              <w:t>696.00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2040501</w:t>
            </w:r>
          </w:p>
        </w:tc>
        <w:tc>
          <w:tcPr>
            <w:tcW w:w="4535" w:type="dxa"/>
            <w:vAlign w:val="center"/>
          </w:tcPr>
          <w:p>
            <w:pPr>
              <w:pStyle w:val="10"/>
            </w:pPr>
            <w:r>
              <w:t>行政运行</w:t>
            </w:r>
          </w:p>
        </w:tc>
        <w:tc>
          <w:tcPr>
            <w:tcW w:w="2551" w:type="dxa"/>
            <w:vAlign w:val="center"/>
          </w:tcPr>
          <w:p>
            <w:pPr>
              <w:pStyle w:val="9"/>
            </w:pPr>
            <w:r>
              <w:t>100.44</w:t>
            </w:r>
          </w:p>
        </w:tc>
        <w:tc>
          <w:tcPr>
            <w:tcW w:w="2551" w:type="dxa"/>
            <w:vAlign w:val="center"/>
          </w:tcPr>
          <w:p>
            <w:pPr>
              <w:pStyle w:val="9"/>
            </w:pPr>
            <w:r>
              <w:t>100.44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2040502</w:t>
            </w:r>
          </w:p>
        </w:tc>
        <w:tc>
          <w:tcPr>
            <w:tcW w:w="4535" w:type="dxa"/>
            <w:vAlign w:val="center"/>
          </w:tcPr>
          <w:p>
            <w:pPr>
              <w:pStyle w:val="10"/>
            </w:pPr>
            <w:r>
              <w:t>一般行政管理事务</w:t>
            </w:r>
          </w:p>
        </w:tc>
        <w:tc>
          <w:tcPr>
            <w:tcW w:w="2551" w:type="dxa"/>
            <w:vAlign w:val="center"/>
          </w:tcPr>
          <w:p>
            <w:pPr>
              <w:pStyle w:val="9"/>
            </w:pPr>
            <w:r>
              <w:t>696.00</w:t>
            </w:r>
          </w:p>
        </w:tc>
        <w:tc>
          <w:tcPr>
            <w:tcW w:w="2551" w:type="dxa"/>
            <w:vAlign w:val="center"/>
          </w:tcPr>
          <w:p>
            <w:pPr>
              <w:pStyle w:val="9"/>
            </w:pPr>
          </w:p>
        </w:tc>
        <w:tc>
          <w:tcPr>
            <w:tcW w:w="2551" w:type="dxa"/>
            <w:vAlign w:val="center"/>
          </w:tcPr>
          <w:p>
            <w:pPr>
              <w:pStyle w:val="9"/>
            </w:pPr>
            <w:r>
              <w:t>696.00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137唐山高新技术产业开发区人民法院</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100.44</w:t>
            </w:r>
          </w:p>
        </w:tc>
        <w:tc>
          <w:tcPr>
            <w:tcW w:w="2551" w:type="dxa"/>
            <w:vAlign w:val="center"/>
          </w:tcPr>
          <w:p>
            <w:pPr>
              <w:pStyle w:val="13"/>
            </w:pPr>
            <w:r>
              <w:t>100.44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100.44</w:t>
            </w:r>
          </w:p>
        </w:tc>
        <w:tc>
          <w:tcPr>
            <w:tcW w:w="2551" w:type="dxa"/>
            <w:vAlign w:val="center"/>
          </w:tcPr>
          <w:p>
            <w:pPr>
              <w:pStyle w:val="9"/>
            </w:pPr>
            <w:r>
              <w:t>100.44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100.44</w:t>
            </w:r>
          </w:p>
        </w:tc>
        <w:tc>
          <w:tcPr>
            <w:tcW w:w="2551" w:type="dxa"/>
            <w:vAlign w:val="center"/>
          </w:tcPr>
          <w:p>
            <w:pPr>
              <w:pStyle w:val="9"/>
            </w:pPr>
            <w:r>
              <w:t>100.44</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137唐山高新技术产业开发区人民法院</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137唐山高新技术产业开发区人民法院</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137唐山高新技术产业开发区人民法院</w:t>
            </w:r>
          </w:p>
        </w:tc>
        <w:tc>
          <w:tcPr>
            <w:tcW w:w="2381" w:type="dxa"/>
            <w:tcBorders>
              <w:top w:val="single" w:color="FFFFFF" w:sz="6" w:space="0"/>
              <w:left w:val="single" w:color="FFFFFF" w:sz="6" w:space="0"/>
              <w:right w:val="single" w:color="FFFFFF" w:sz="6" w:space="0"/>
            </w:tcBorders>
            <w:vAlign w:val="center"/>
          </w:tcPr>
          <w:p>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p>
        </w:tc>
        <w:tc>
          <w:tcPr>
            <w:tcW w:w="3798" w:type="dxa"/>
            <w:vAlign w:val="center"/>
          </w:tcPr>
          <w:p>
            <w:pPr>
              <w:pStyle w:val="10"/>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唐山高新技术产业开发区人民法院2024年部门预算信息公开情况说明</w:t>
      </w:r>
    </w:p>
    <w:p>
      <w:pPr>
        <w:jc w:val="center"/>
      </w:pPr>
      <w:r>
        <w:rPr>
          <w:rFonts w:ascii="方正小标宋_GBK" w:hAnsi="方正小标宋_GBK" w:eastAsia="方正小标宋_GBK" w:cs="方正小标宋_GBK"/>
          <w:color w:val="000000"/>
          <w:sz w:val="44"/>
        </w:rPr>
        <w:t>唐山高新技术产业开发区人民法院2024年部门预算信息公开情况说明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按照《中华人民共和国预算法》、《地方预决算公开操作规程》和《关于进一步推进预算公开工作的实施意见》规定，现将唐山高新技术产业开发区人民法院2024年部门预算公开如下：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5"/>
      </w:pPr>
      <w:r>
        <w:t>部门职责：</w:t>
      </w:r>
    </w:p>
    <w:p>
      <w:pPr>
        <w:pStyle w:val="15"/>
      </w:pPr>
      <w:r>
        <w:t>根据《唐山高新技术产业开发区人民法院职能配置、内设机构和人员编制规定》，唐山高新技术产业开发区人民法院的主要职责是：</w:t>
      </w:r>
    </w:p>
    <w:p>
      <w:pPr>
        <w:pStyle w:val="15"/>
      </w:pPr>
      <w:r>
        <w:t>(一)部门职责：我院包含法院和老庄子法庭，单位性质属行政单位，正处级，经费形式财政拨款，法院下设7个机构，分别为办公室、立案庭、民事审判庭、刑事审判庭、行政审判监督庭、执行局、司法警察大队；下设一个派出法庭：老庄子法庭。</w:t>
      </w:r>
    </w:p>
    <w:p>
      <w:pPr>
        <w:pStyle w:val="15"/>
      </w:pPr>
      <w:r>
        <w:t>（二）法院职责:</w:t>
      </w:r>
    </w:p>
    <w:p>
      <w:pPr>
        <w:pStyle w:val="15"/>
      </w:pPr>
      <w:r>
        <w:t>1.依法审判由基层人民法院管辖的刑事、民事、行政一审案件。</w:t>
      </w:r>
    </w:p>
    <w:p>
      <w:pPr>
        <w:pStyle w:val="15"/>
      </w:pPr>
      <w:r>
        <w:t>2.依法受理和审查各类告诉、申诉案件；审判各类再审案件，处理来信来访，依法办理刑事、民事、行政申请强制执行等案件的审查和立案工作。</w:t>
      </w:r>
    </w:p>
    <w:p>
      <w:pPr>
        <w:pStyle w:val="15"/>
      </w:pPr>
      <w:r>
        <w:t>3.依法办理发生法律效力的民事、行政案件的判决和裁定的执行事项及刑事案件判决和裁定中关于财产部分的执行事项；办理法律规定由基层人民法院执行的其他法律文书中的执行事项。</w:t>
      </w:r>
    </w:p>
    <w:p>
      <w:pPr>
        <w:pStyle w:val="15"/>
      </w:pPr>
      <w:r>
        <w:t>4.依法行使司法决定权并接受上级法院的业务指导和监督。</w:t>
      </w:r>
    </w:p>
    <w:p>
      <w:pPr>
        <w:pStyle w:val="15"/>
      </w:pPr>
      <w:r>
        <w:t>5.对本院的法官和其他工作人员进行思想政治教育、组织专业培训；按照权限管理法官和其他工作人员。</w:t>
      </w:r>
    </w:p>
    <w:p>
      <w:pPr>
        <w:pStyle w:val="15"/>
      </w:pPr>
      <w:r>
        <w:t>6.管理本院的有关经费和物资装备。</w:t>
      </w:r>
    </w:p>
    <w:p>
      <w:pPr>
        <w:pStyle w:val="15"/>
      </w:pPr>
      <w:r>
        <w:t>7.协助上级主管单位做好人民法院的监察工作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唐山高新技术产业开发区人民法院（本级）</w:t>
            </w:r>
          </w:p>
        </w:tc>
        <w:tc>
          <w:tcPr>
            <w:tcW w:w="1843" w:type="dxa"/>
            <w:vAlign w:val="center"/>
          </w:tcPr>
          <w:p>
            <w:pPr>
              <w:pStyle w:val="11"/>
            </w:pPr>
            <w:r>
              <w:t>行政</w:t>
            </w:r>
          </w:p>
        </w:tc>
        <w:tc>
          <w:tcPr>
            <w:tcW w:w="2126" w:type="dxa"/>
            <w:vAlign w:val="center"/>
          </w:tcPr>
          <w:p>
            <w:pPr>
              <w:pStyle w:val="11"/>
            </w:pPr>
            <w:r>
              <w:t>正处（县）级</w:t>
            </w:r>
          </w:p>
        </w:tc>
        <w:tc>
          <w:tcPr>
            <w:tcW w:w="3827" w:type="dxa"/>
            <w:vAlign w:val="center"/>
          </w:tcPr>
          <w:p>
            <w:pPr>
              <w:pStyle w:val="11"/>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6"/>
      </w:pPr>
      <w:r>
        <w:t>按照预算管理有关规定，目前部门预算的编制实行综合预算管理，即全部收入和支出都反映在预算中。唐山高新技术产业开发区人民法院机关及所属事业单位的收支包含在部门预算中。</w:t>
      </w:r>
    </w:p>
    <w:p>
      <w:pPr>
        <w:pStyle w:val="16"/>
      </w:pPr>
      <w:r>
        <w:t>1、收入说明</w:t>
      </w:r>
    </w:p>
    <w:p>
      <w:pPr>
        <w:pStyle w:val="16"/>
      </w:pPr>
      <w:r>
        <w:t>反映本部门当年全部收入。2024年预算收入796.44万元，其中：一般公共预算收入796.44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唐山高新技术产业开发区人民法院年度部门预算中支出预算的总体情况。2024年支出预算796.44万元，其中基本支出100.44万元，包括人员经费100.44万元和日常公用经费0.00万元；项目支出696.00万元，主要为公检法办公大楼租赁费用及物业管理费用。</w:t>
      </w:r>
    </w:p>
    <w:p>
      <w:pPr>
        <w:pStyle w:val="16"/>
      </w:pPr>
      <w:r>
        <w:t>3、比上年增减情况</w:t>
      </w:r>
    </w:p>
    <w:p>
      <w:pPr>
        <w:pStyle w:val="16"/>
      </w:pPr>
      <w:r>
        <w:t>2024年预算收支安排796.44万元，较2023年预算增加561.86万元，其中：基本支出增加100.44万元，主要为劳务派遣人员经费。项目支出增加461.42万元，主要为公检法办公大楼的租赁费用。</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t>2024年，我部门机关运行经费共计安排0.00万元，主要用于日常维修、办公用房水电费、办公用房取暖费、办公用房物业管理费等日常运行支出</w:t>
      </w:r>
      <w:r>
        <w:rPr>
          <w:rFonts w:hint="eastAsia"/>
          <w:lang w:val="en-US" w:eastAsia="zh-CN"/>
        </w:rPr>
        <w:t>,与2023年一致，原因为相关经费从市局列支</w:t>
      </w:r>
      <w:bookmarkStart w:id="20" w:name="_GoBack"/>
      <w:bookmarkEnd w:id="20"/>
      <w:r>
        <w:t>。</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与去年一致。</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ind w:firstLine="560" w:firstLineChars="200"/>
      </w:pPr>
      <w:r>
        <w:rPr>
          <w:rFonts w:eastAsia="方正仿宋_GBK"/>
          <w:sz w:val="28"/>
        </w:rPr>
        <w:t>202</w:t>
      </w:r>
      <w:r>
        <w:rPr>
          <w:rFonts w:hint="eastAsia" w:eastAsia="方正仿宋_GBK"/>
          <w:sz w:val="28"/>
          <w:lang w:eastAsia="zh-CN"/>
        </w:rPr>
        <w:t>4</w:t>
      </w:r>
      <w:r>
        <w:rPr>
          <w:rFonts w:eastAsia="方正仿宋_GBK"/>
          <w:sz w:val="28"/>
        </w:rPr>
        <w:t>年，</w:t>
      </w:r>
      <w:r>
        <w:rPr>
          <w:rFonts w:hint="eastAsia" w:eastAsia="方正仿宋_GBK"/>
          <w:sz w:val="28"/>
        </w:rPr>
        <w:t>高新区人民法院坚持以习近平新时代中国特色社会主义思想为指导，深入贯彻习近平法治思想，全面贯彻党的二十大精神，紧紧围绕“努力让人民群众在每一个司法案件中感受到公平正义”目标，坚持服务大局、司法为民、公正司法，争一流、争上游、当标兵、做示范，忠实履行宪法法律赋予的职责，各项工作取得新进展，为高新区经济持续健康发展和社会大局稳定提供了强有力的司法服务和保障。根据管委会工作部署，结合本部门年度工作计划，</w:t>
      </w:r>
      <w:r>
        <w:rPr>
          <w:rFonts w:hint="eastAsia" w:eastAsia="方正仿宋_GBK"/>
          <w:sz w:val="28"/>
          <w:lang w:eastAsia="zh-CN"/>
        </w:rPr>
        <w:t>我院</w:t>
      </w:r>
      <w:r>
        <w:rPr>
          <w:rFonts w:eastAsia="方正仿宋_GBK"/>
          <w:sz w:val="28"/>
        </w:rPr>
        <w:t>总体绩效目标为：妥善审理经济转型过程中引发的各类矛盾纠纷，依法维护国家安全和社会稳定，严惩各类严重刑事犯罪，积极推进我</w:t>
      </w:r>
      <w:r>
        <w:rPr>
          <w:rFonts w:hint="eastAsia" w:eastAsia="方正仿宋_GBK"/>
          <w:sz w:val="28"/>
          <w:lang w:eastAsia="zh-CN"/>
        </w:rPr>
        <w:t>区</w:t>
      </w:r>
      <w:r>
        <w:rPr>
          <w:rFonts w:eastAsia="方正仿宋_GBK"/>
          <w:sz w:val="28"/>
        </w:rPr>
        <w:t>平安建设，营造良好的法治环境；改革涉诉信访工作，推动涉诉信访问题在法治轨道内解决；落实司法为民措施，保护被侵权人合法利益，促进国家机关依法行使职权；提高队伍素质和执法能力，高质高效完成各项工作。</w:t>
      </w:r>
    </w:p>
    <w:p>
      <w:pPr>
        <w:spacing w:line="500" w:lineRule="exact"/>
        <w:ind w:firstLine="560"/>
      </w:pPr>
      <w:r>
        <w:rPr>
          <w:rFonts w:eastAsia="方正仿宋_GBK"/>
          <w:color w:val="000000"/>
          <w:sz w:val="28"/>
        </w:rPr>
        <w:t>（二）分项绩效目标</w:t>
      </w:r>
    </w:p>
    <w:p>
      <w:pPr>
        <w:pStyle w:val="20"/>
      </w:pPr>
      <w:r>
        <w:t>1.完成案件审判、案件判决执行、审判管理和司法技术辅助工作</w:t>
      </w:r>
    </w:p>
    <w:p>
      <w:pPr>
        <w:pStyle w:val="20"/>
      </w:pPr>
      <w:r>
        <w:t>绩效目标：依法审判法律规定由</w:t>
      </w:r>
      <w:r>
        <w:rPr>
          <w:rFonts w:hint="eastAsia"/>
          <w:lang w:eastAsia="zh-CN"/>
        </w:rPr>
        <w:t>高新区</w:t>
      </w:r>
      <w:r>
        <w:t>法院管辖的刑事、民事、行政等案件。</w:t>
      </w:r>
    </w:p>
    <w:p>
      <w:pPr>
        <w:pStyle w:val="20"/>
      </w:pPr>
      <w:r>
        <w:t>绩效指标：案件结案率≧9</w:t>
      </w:r>
      <w:r>
        <w:rPr>
          <w:rFonts w:hint="eastAsia"/>
          <w:lang w:eastAsia="zh-CN"/>
        </w:rPr>
        <w:t>5</w:t>
      </w:r>
      <w:r>
        <w:t>%、 被发回重审率≦</w:t>
      </w:r>
      <w:r>
        <w:rPr>
          <w:rFonts w:hint="eastAsia"/>
          <w:lang w:eastAsia="zh-CN"/>
        </w:rPr>
        <w:t>1</w:t>
      </w:r>
      <w:r>
        <w:t>%、案件流程公开率≧9</w:t>
      </w:r>
      <w:r>
        <w:rPr>
          <w:rFonts w:hint="eastAsia"/>
          <w:lang w:eastAsia="zh-CN"/>
        </w:rPr>
        <w:t>5</w:t>
      </w:r>
      <w:r>
        <w:t>%</w:t>
      </w:r>
    </w:p>
    <w:p>
      <w:pPr>
        <w:pStyle w:val="20"/>
      </w:pPr>
      <w:r>
        <w:t>2. 完成涉法涉诉类案件的息诉罢访工作，依法办理国家赔偿案件</w:t>
      </w:r>
    </w:p>
    <w:p>
      <w:pPr>
        <w:pStyle w:val="20"/>
      </w:pPr>
      <w:r>
        <w:t>绩效目标：改革涉诉信访工作，推动涉诉信访问题在法治轨道内解决；落实司法为民措施，保护被侵权人合法利益，促进国家机关依法行使职权。</w:t>
      </w:r>
    </w:p>
    <w:p>
      <w:pPr>
        <w:pStyle w:val="20"/>
      </w:pPr>
      <w:r>
        <w:t>绩效指标：司法救助资金</w:t>
      </w:r>
      <w:r>
        <w:rPr>
          <w:rFonts w:hint="eastAsia"/>
          <w:lang w:eastAsia="zh-CN"/>
        </w:rPr>
        <w:t>及时</w:t>
      </w:r>
      <w:r>
        <w:t>发放率≧100%</w:t>
      </w:r>
    </w:p>
    <w:p>
      <w:pPr>
        <w:pStyle w:val="20"/>
      </w:pPr>
      <w:r>
        <w:t>3. 完成综合业务管理和综合事务管理工作</w:t>
      </w:r>
    </w:p>
    <w:p>
      <w:pPr>
        <w:pStyle w:val="20"/>
      </w:pPr>
      <w:r>
        <w:t>绩效目标：加强法院系统队伍建设，加强法院基础设施及信息化建设；总结人民法院审判业务工作经验，建立绩效考核制度，加强对外宣传以及舆论引导，树立法院良好形象。</w:t>
      </w:r>
    </w:p>
    <w:p>
      <w:pPr>
        <w:pStyle w:val="20"/>
      </w:pPr>
      <w:r>
        <w:t>绩效指标：综合业务管理工作完成率≧85%</w:t>
      </w:r>
    </w:p>
    <w:p>
      <w:pPr>
        <w:spacing w:line="500" w:lineRule="exact"/>
        <w:ind w:firstLine="560"/>
        <w:rPr>
          <w:rFonts w:hint="eastAsia" w:eastAsiaTheme="minorEastAsia"/>
          <w:lang w:eastAsia="zh-CN"/>
        </w:rPr>
      </w:pPr>
      <w:r>
        <w:rPr>
          <w:rFonts w:eastAsia="方正仿宋_GBK"/>
          <w:color w:val="000000"/>
          <w:sz w:val="28"/>
        </w:rPr>
        <w:t>（三）工作保障措施</w:t>
      </w:r>
    </w:p>
    <w:p>
      <w:pPr>
        <w:pStyle w:val="21"/>
        <w:rPr>
          <w:lang w:eastAsia="zh-CN"/>
        </w:rPr>
      </w:pPr>
      <w:r>
        <w:t>为确保202</w:t>
      </w:r>
      <w:r>
        <w:rPr>
          <w:rFonts w:hint="eastAsia"/>
          <w:lang w:eastAsia="zh-CN"/>
        </w:rPr>
        <w:t>4</w:t>
      </w:r>
      <w:r>
        <w:t>年部门工作计划圆满完成，绩效目标顺利实现，</w:t>
      </w:r>
      <w:r>
        <w:rPr>
          <w:rFonts w:hint="eastAsia"/>
          <w:lang w:eastAsia="zh-CN"/>
        </w:rPr>
        <w:t>我</w:t>
      </w:r>
      <w:r>
        <w:t>院将突出以下几个方面做好保障措施：</w:t>
      </w:r>
    </w:p>
    <w:p>
      <w:pPr>
        <w:pStyle w:val="20"/>
      </w:pPr>
      <w:r>
        <w:rPr>
          <w:rFonts w:hint="eastAsia"/>
        </w:rPr>
        <w:t>1.</w:t>
      </w:r>
      <w:r>
        <w:t>完善制度建设。</w:t>
      </w:r>
      <w:r>
        <w:rPr>
          <w:rFonts w:hint="eastAsia"/>
        </w:rPr>
        <w:t>制定完善预算绩效管理制度、资金管理办法、工作保障制度等相关制度。</w:t>
      </w:r>
    </w:p>
    <w:p>
      <w:pPr>
        <w:pStyle w:val="20"/>
      </w:pPr>
      <w:r>
        <w:rPr>
          <w:rFonts w:hint="eastAsia"/>
        </w:rPr>
        <w:t>2.加强支出管理。严格执行预算，加强支出进度分析。加强支出进度分析，及时反映预算执行动态，确保财政预算支出进度顺利完成。加强预算执行的责任意识，强化财政资金使用，提高财政资金的效益性和安全性。加强预算支出执行动态。</w:t>
      </w:r>
    </w:p>
    <w:p>
      <w:pPr>
        <w:pStyle w:val="20"/>
      </w:pPr>
      <w:r>
        <w:rPr>
          <w:rFonts w:hint="eastAsia"/>
        </w:rPr>
        <w:t>3.加强绩效运行监控。按照上级要求按季度开展绩效运行监控，掌握预算支出进度和项目实施情况，发现问题及时采取措施，确保绩效目标如期保质实现。</w:t>
      </w:r>
    </w:p>
    <w:p>
      <w:pPr>
        <w:pStyle w:val="20"/>
      </w:pPr>
      <w:r>
        <w:rPr>
          <w:rFonts w:hint="eastAsia"/>
        </w:rPr>
        <w:t>4.做好绩效自评工作。按要求开展上年度部门预算绩效自评工作，对自评中发现的问题及时整改，调整优化支出结构，提高财政资金使用效益。</w:t>
      </w:r>
    </w:p>
    <w:p>
      <w:pPr>
        <w:pStyle w:val="20"/>
      </w:pPr>
      <w:r>
        <w:rPr>
          <w:rFonts w:hint="eastAsia"/>
        </w:rPr>
        <w:t>5.规范财务资金管理。完善财务管理制度，严格审批程序，做好固定资产登记、使用报废处置管理，做到支出合理，物尽其用。</w:t>
      </w:r>
    </w:p>
    <w:p>
      <w:pPr>
        <w:pStyle w:val="20"/>
      </w:pPr>
      <w:r>
        <w:rPr>
          <w:rFonts w:hint="eastAsia"/>
        </w:rPr>
        <w:t>6.加强内部监督。加强内部监督制度建设，做好内控工作，对项目绩效及资产处置工作进行督导，对会计资料进行内部审计，并配合做好财政监督等工作，确保财政资金安全有效。</w:t>
      </w:r>
    </w:p>
    <w:p>
      <w:pPr>
        <w:ind w:firstLine="560" w:firstLineChars="200"/>
        <w:jc w:val="both"/>
        <w:rPr>
          <w:rFonts w:eastAsia="方正仿宋_GBK"/>
          <w:sz w:val="28"/>
        </w:rPr>
      </w:pPr>
      <w:r>
        <w:rPr>
          <w:rFonts w:hint="eastAsia" w:eastAsia="方正仿宋_GBK"/>
          <w:sz w:val="28"/>
        </w:rPr>
        <w:t>7.加强宣传培训调研等。加强人员培训，提高本部门职工业务素质；加强调研，提出优化财政资金配置、提高资金使用效益的意见；加大宣传力度，强化预算绩效管理意识，促进预算绩效管理水平进一步提升。</w:t>
      </w:r>
    </w:p>
    <w:p>
      <w:pPr>
        <w:pStyle w:val="21"/>
        <w:rPr>
          <w:rFonts w:hint="eastAsia" w:eastAsiaTheme="minorEastAsia"/>
          <w:lang w:eastAsia="zh-CN"/>
        </w:rPr>
        <w:sectPr>
          <w:pgSz w:w="16840" w:h="11900" w:orient="landscape"/>
          <w:pgMar w:top="1361" w:right="1020" w:bottom="1361" w:left="1020" w:header="720" w:footer="720" w:gutter="0"/>
          <w:cols w:space="720" w:num="1"/>
        </w:sectPr>
      </w:pPr>
    </w:p>
    <w:p>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hint="eastAsia" w:eastAsiaTheme="minorEastAsia"/>
          <w:lang w:eastAsia="zh-CN"/>
        </w:rPr>
        <w:sectPr>
          <w:pgSz w:w="16840" w:h="11900" w:orient="landscape"/>
          <w:pgMar w:top="1361" w:right="1020" w:bottom="1134" w:left="1020" w:header="720" w:footer="720" w:gutter="0"/>
          <w:cols w:space="720" w:num="1"/>
        </w:sectPr>
      </w:pPr>
      <w:r>
        <w:rPr>
          <w:rFonts w:hint="eastAsia" w:eastAsiaTheme="minorEastAsia"/>
          <w:lang w:eastAsia="zh-CN"/>
        </w:rPr>
        <w:t>无相关内容。</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1、法检大楼租赁费绩效目标表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13021124P00AJTP100028</w:t>
            </w:r>
          </w:p>
        </w:tc>
        <w:tc>
          <w:tcPr>
            <w:tcW w:w="2835" w:type="dxa"/>
            <w:vAlign w:val="center"/>
          </w:tcPr>
          <w:p>
            <w:pPr>
              <w:pStyle w:val="8"/>
            </w:pPr>
            <w:r>
              <w:t>项目名称</w:t>
            </w:r>
          </w:p>
        </w:tc>
        <w:tc>
          <w:tcPr>
            <w:tcW w:w="6094" w:type="dxa"/>
            <w:gridSpan w:val="3"/>
            <w:vAlign w:val="center"/>
          </w:tcPr>
          <w:p>
            <w:pPr>
              <w:pStyle w:val="10"/>
            </w:pPr>
            <w:r>
              <w:t>法检大楼租赁费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600.00</w:t>
            </w:r>
          </w:p>
        </w:tc>
        <w:tc>
          <w:tcPr>
            <w:tcW w:w="2835" w:type="dxa"/>
            <w:vAlign w:val="center"/>
          </w:tcPr>
          <w:p>
            <w:pPr>
              <w:pStyle w:val="8"/>
            </w:pPr>
            <w:r>
              <w:t>其中：财政    资金</w:t>
            </w:r>
          </w:p>
        </w:tc>
        <w:tc>
          <w:tcPr>
            <w:tcW w:w="2551" w:type="dxa"/>
            <w:vAlign w:val="center"/>
          </w:tcPr>
          <w:p>
            <w:pPr>
              <w:pStyle w:val="10"/>
            </w:pPr>
            <w:r>
              <w:t>600.00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满足法检办公要求，租赁办公大楼。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pPr>
            <w:r>
              <w:t xml:space="preserve"> </w:t>
            </w:r>
          </w:p>
        </w:tc>
        <w:tc>
          <w:tcPr>
            <w:tcW w:w="2835" w:type="dxa"/>
            <w:vAlign w:val="center"/>
          </w:tcPr>
          <w:p>
            <w:pPr>
              <w:pStyle w:val="11"/>
            </w:pPr>
            <w:r>
              <w:t xml:space="preserve"> </w:t>
            </w:r>
          </w:p>
        </w:tc>
        <w:tc>
          <w:tcPr>
            <w:tcW w:w="2551" w:type="dxa"/>
            <w:vAlign w:val="center"/>
          </w:tcPr>
          <w:p>
            <w:pPr>
              <w:pStyle w:val="11"/>
            </w:pPr>
            <w:r>
              <w:t xml:space="preserve"> </w:t>
            </w:r>
          </w:p>
        </w:tc>
        <w:tc>
          <w:tcPr>
            <w:tcW w:w="3543"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1.满足法检办公要求，保证法检正常运行。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租用面积</w:t>
            </w:r>
          </w:p>
        </w:tc>
        <w:tc>
          <w:tcPr>
            <w:tcW w:w="5386" w:type="dxa"/>
            <w:vAlign w:val="center"/>
          </w:tcPr>
          <w:p>
            <w:pPr>
              <w:pStyle w:val="10"/>
            </w:pPr>
            <w:r>
              <w:t>租用房屋的面积</w:t>
            </w:r>
          </w:p>
        </w:tc>
        <w:tc>
          <w:tcPr>
            <w:tcW w:w="2268" w:type="dxa"/>
            <w:vAlign w:val="center"/>
          </w:tcPr>
          <w:p>
            <w:pPr>
              <w:pStyle w:val="10"/>
            </w:pPr>
            <w:r>
              <w:t>≥1000平米</w:t>
            </w:r>
          </w:p>
        </w:tc>
        <w:tc>
          <w:tcPr>
            <w:tcW w:w="1276" w:type="dxa"/>
            <w:vAlign w:val="center"/>
          </w:tcPr>
          <w:p>
            <w:pPr>
              <w:pStyle w:val="1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解决办公用房人数</w:t>
            </w:r>
          </w:p>
        </w:tc>
        <w:tc>
          <w:tcPr>
            <w:tcW w:w="5386" w:type="dxa"/>
            <w:vAlign w:val="center"/>
          </w:tcPr>
          <w:p>
            <w:pPr>
              <w:pStyle w:val="10"/>
            </w:pPr>
            <w:r>
              <w:t>租用房屋解决办公用房人数</w:t>
            </w:r>
          </w:p>
        </w:tc>
        <w:tc>
          <w:tcPr>
            <w:tcW w:w="2268" w:type="dxa"/>
            <w:vAlign w:val="center"/>
          </w:tcPr>
          <w:p>
            <w:pPr>
              <w:pStyle w:val="10"/>
            </w:pPr>
            <w:r>
              <w:t>≥80人</w:t>
            </w:r>
          </w:p>
        </w:tc>
        <w:tc>
          <w:tcPr>
            <w:tcW w:w="1276"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租赁服务质量合格率</w:t>
            </w:r>
          </w:p>
        </w:tc>
        <w:tc>
          <w:tcPr>
            <w:tcW w:w="5386" w:type="dxa"/>
            <w:vAlign w:val="center"/>
          </w:tcPr>
          <w:p>
            <w:pPr>
              <w:pStyle w:val="10"/>
            </w:pPr>
            <w:r>
              <w:t>租赁服务质量合格率</w:t>
            </w:r>
          </w:p>
        </w:tc>
        <w:tc>
          <w:tcPr>
            <w:tcW w:w="2268" w:type="dxa"/>
            <w:vAlign w:val="center"/>
          </w:tcPr>
          <w:p>
            <w:pPr>
              <w:pStyle w:val="10"/>
            </w:pPr>
            <w:r>
              <w:t>≥90%</w:t>
            </w:r>
          </w:p>
        </w:tc>
        <w:tc>
          <w:tcPr>
            <w:tcW w:w="1276"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维修及时性</w:t>
            </w:r>
          </w:p>
        </w:tc>
        <w:tc>
          <w:tcPr>
            <w:tcW w:w="5386" w:type="dxa"/>
            <w:vAlign w:val="center"/>
          </w:tcPr>
          <w:p>
            <w:pPr>
              <w:pStyle w:val="10"/>
            </w:pPr>
            <w:r>
              <w:t>办公楼设施设备保修及时处理率</w:t>
            </w:r>
          </w:p>
        </w:tc>
        <w:tc>
          <w:tcPr>
            <w:tcW w:w="2268" w:type="dxa"/>
            <w:vAlign w:val="center"/>
          </w:tcPr>
          <w:p>
            <w:pPr>
              <w:pStyle w:val="10"/>
            </w:pPr>
            <w:r>
              <w:t>100%</w:t>
            </w:r>
          </w:p>
        </w:tc>
        <w:tc>
          <w:tcPr>
            <w:tcW w:w="1276"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预算控制</w:t>
            </w:r>
          </w:p>
        </w:tc>
        <w:tc>
          <w:tcPr>
            <w:tcW w:w="5386" w:type="dxa"/>
            <w:vAlign w:val="center"/>
          </w:tcPr>
          <w:p>
            <w:pPr>
              <w:pStyle w:val="10"/>
            </w:pPr>
            <w:r>
              <w:t>不超过项目金额</w:t>
            </w:r>
          </w:p>
        </w:tc>
        <w:tc>
          <w:tcPr>
            <w:tcW w:w="2268" w:type="dxa"/>
            <w:vAlign w:val="center"/>
          </w:tcPr>
          <w:p>
            <w:pPr>
              <w:pStyle w:val="10"/>
            </w:pPr>
            <w:r>
              <w:t>是</w:t>
            </w:r>
          </w:p>
        </w:tc>
        <w:tc>
          <w:tcPr>
            <w:tcW w:w="1276"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提供良好履职基础，服务社会发展能力</w:t>
            </w:r>
          </w:p>
        </w:tc>
        <w:tc>
          <w:tcPr>
            <w:tcW w:w="5386" w:type="dxa"/>
            <w:vAlign w:val="center"/>
          </w:tcPr>
          <w:p>
            <w:pPr>
              <w:pStyle w:val="10"/>
            </w:pPr>
            <w:r>
              <w:t>提供良好履职基础，服务社会发展能力</w:t>
            </w:r>
          </w:p>
        </w:tc>
        <w:tc>
          <w:tcPr>
            <w:tcW w:w="2268" w:type="dxa"/>
            <w:vAlign w:val="center"/>
          </w:tcPr>
          <w:p>
            <w:pPr>
              <w:pStyle w:val="10"/>
            </w:pPr>
            <w:r>
              <w:t>是</w:t>
            </w:r>
          </w:p>
        </w:tc>
        <w:tc>
          <w:tcPr>
            <w:tcW w:w="1276"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受访人员满意度</w:t>
            </w:r>
          </w:p>
        </w:tc>
        <w:tc>
          <w:tcPr>
            <w:tcW w:w="5386" w:type="dxa"/>
            <w:vAlign w:val="center"/>
          </w:tcPr>
          <w:p>
            <w:pPr>
              <w:pStyle w:val="10"/>
            </w:pPr>
            <w:r>
              <w:t>受访人员满意度占总人数的比例</w:t>
            </w:r>
          </w:p>
        </w:tc>
        <w:tc>
          <w:tcPr>
            <w:tcW w:w="2268" w:type="dxa"/>
            <w:vAlign w:val="center"/>
          </w:tcPr>
          <w:p>
            <w:pPr>
              <w:pStyle w:val="10"/>
            </w:pPr>
            <w:r>
              <w:t>≥90%</w:t>
            </w:r>
          </w:p>
        </w:tc>
        <w:tc>
          <w:tcPr>
            <w:tcW w:w="1276" w:type="dxa"/>
            <w:vAlign w:val="center"/>
          </w:tcPr>
          <w:p>
            <w:pPr>
              <w:pStyle w:val="10"/>
            </w:pPr>
            <w:r>
              <w:t>工作经验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2、公检法大楼物业服务费绩效目标表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13021124P00WB2710004F</w:t>
            </w:r>
          </w:p>
        </w:tc>
        <w:tc>
          <w:tcPr>
            <w:tcW w:w="2835" w:type="dxa"/>
            <w:vAlign w:val="center"/>
          </w:tcPr>
          <w:p>
            <w:pPr>
              <w:pStyle w:val="8"/>
            </w:pPr>
            <w:r>
              <w:t>项目名称</w:t>
            </w:r>
          </w:p>
        </w:tc>
        <w:tc>
          <w:tcPr>
            <w:tcW w:w="6094" w:type="dxa"/>
            <w:gridSpan w:val="3"/>
            <w:vAlign w:val="center"/>
          </w:tcPr>
          <w:p>
            <w:pPr>
              <w:pStyle w:val="10"/>
            </w:pPr>
            <w:r>
              <w:t>公检法大楼物业服务费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96.00</w:t>
            </w:r>
          </w:p>
        </w:tc>
        <w:tc>
          <w:tcPr>
            <w:tcW w:w="2835" w:type="dxa"/>
            <w:vAlign w:val="center"/>
          </w:tcPr>
          <w:p>
            <w:pPr>
              <w:pStyle w:val="8"/>
            </w:pPr>
            <w:r>
              <w:t>其中：财政    资金</w:t>
            </w:r>
          </w:p>
        </w:tc>
        <w:tc>
          <w:tcPr>
            <w:tcW w:w="2551" w:type="dxa"/>
            <w:vAlign w:val="center"/>
          </w:tcPr>
          <w:p>
            <w:pPr>
              <w:pStyle w:val="10"/>
            </w:pPr>
            <w:r>
              <w:t>96.00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支付物业服务费。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3"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1.公检法办公大楼的清扫保洁，办公环境的提升提高工作质量。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综合业务管理工作完成率</w:t>
            </w:r>
          </w:p>
        </w:tc>
        <w:tc>
          <w:tcPr>
            <w:tcW w:w="5386" w:type="dxa"/>
            <w:vAlign w:val="center"/>
          </w:tcPr>
          <w:p>
            <w:pPr>
              <w:pStyle w:val="10"/>
            </w:pPr>
            <w:r>
              <w:t>综合业务管理工作完成情况占综合业务管理工作任务的比例</w:t>
            </w:r>
          </w:p>
        </w:tc>
        <w:tc>
          <w:tcPr>
            <w:tcW w:w="2268" w:type="dxa"/>
            <w:vAlign w:val="center"/>
          </w:tcPr>
          <w:p>
            <w:pPr>
              <w:pStyle w:val="10"/>
            </w:pPr>
            <w:r>
              <w:t>≥90%</w:t>
            </w:r>
          </w:p>
        </w:tc>
        <w:tc>
          <w:tcPr>
            <w:tcW w:w="1276"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保障工作正常开展</w:t>
            </w:r>
          </w:p>
        </w:tc>
        <w:tc>
          <w:tcPr>
            <w:tcW w:w="5386" w:type="dxa"/>
            <w:vAlign w:val="center"/>
          </w:tcPr>
          <w:p>
            <w:pPr>
              <w:pStyle w:val="10"/>
            </w:pPr>
            <w:r>
              <w:t>按照合同约定提供物业服务，保障工作正常开展</w:t>
            </w:r>
          </w:p>
        </w:tc>
        <w:tc>
          <w:tcPr>
            <w:tcW w:w="2268" w:type="dxa"/>
            <w:vAlign w:val="center"/>
          </w:tcPr>
          <w:p>
            <w:pPr>
              <w:pStyle w:val="10"/>
            </w:pPr>
            <w:r>
              <w:t>保障</w:t>
            </w:r>
          </w:p>
        </w:tc>
        <w:tc>
          <w:tcPr>
            <w:tcW w:w="1276"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预算执行率</w:t>
            </w:r>
          </w:p>
        </w:tc>
        <w:tc>
          <w:tcPr>
            <w:tcW w:w="5386" w:type="dxa"/>
            <w:vAlign w:val="center"/>
          </w:tcPr>
          <w:p>
            <w:pPr>
              <w:pStyle w:val="10"/>
            </w:pPr>
            <w:r>
              <w:t>支出数占预算数的比率</w:t>
            </w:r>
          </w:p>
        </w:tc>
        <w:tc>
          <w:tcPr>
            <w:tcW w:w="2268" w:type="dxa"/>
            <w:vAlign w:val="center"/>
          </w:tcPr>
          <w:p>
            <w:pPr>
              <w:pStyle w:val="10"/>
            </w:pPr>
            <w:r>
              <w:t>≥95%</w:t>
            </w:r>
          </w:p>
        </w:tc>
        <w:tc>
          <w:tcPr>
            <w:tcW w:w="1276"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及时处理率</w:t>
            </w:r>
          </w:p>
        </w:tc>
        <w:tc>
          <w:tcPr>
            <w:tcW w:w="5386" w:type="dxa"/>
            <w:vAlign w:val="center"/>
          </w:tcPr>
          <w:p>
            <w:pPr>
              <w:pStyle w:val="10"/>
            </w:pPr>
            <w:r>
              <w:t>物业公司日常维护发现问题的及时处理率</w:t>
            </w:r>
          </w:p>
        </w:tc>
        <w:tc>
          <w:tcPr>
            <w:tcW w:w="2268" w:type="dxa"/>
            <w:vAlign w:val="center"/>
          </w:tcPr>
          <w:p>
            <w:pPr>
              <w:pStyle w:val="10"/>
            </w:pPr>
            <w:r>
              <w:t>≥90%</w:t>
            </w:r>
          </w:p>
        </w:tc>
        <w:tc>
          <w:tcPr>
            <w:tcW w:w="1276"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工作开展的水平是否提升</w:t>
            </w:r>
          </w:p>
        </w:tc>
        <w:tc>
          <w:tcPr>
            <w:tcW w:w="5386" w:type="dxa"/>
            <w:vAlign w:val="center"/>
          </w:tcPr>
          <w:p>
            <w:pPr>
              <w:pStyle w:val="10"/>
            </w:pPr>
            <w:r>
              <w:t>水平是否提升</w:t>
            </w:r>
          </w:p>
        </w:tc>
        <w:tc>
          <w:tcPr>
            <w:tcW w:w="2268" w:type="dxa"/>
            <w:vAlign w:val="center"/>
          </w:tcPr>
          <w:p>
            <w:pPr>
              <w:pStyle w:val="10"/>
            </w:pPr>
            <w:r>
              <w:t>是</w:t>
            </w:r>
          </w:p>
        </w:tc>
        <w:tc>
          <w:tcPr>
            <w:tcW w:w="1276"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社会公众满意度</w:t>
            </w:r>
          </w:p>
        </w:tc>
        <w:tc>
          <w:tcPr>
            <w:tcW w:w="5386" w:type="dxa"/>
            <w:vAlign w:val="center"/>
          </w:tcPr>
          <w:p>
            <w:pPr>
              <w:pStyle w:val="10"/>
            </w:pPr>
            <w:r>
              <w:t>对项目实施效果的满意程度</w:t>
            </w:r>
          </w:p>
        </w:tc>
        <w:tc>
          <w:tcPr>
            <w:tcW w:w="2268" w:type="dxa"/>
            <w:vAlign w:val="center"/>
          </w:tcPr>
          <w:p>
            <w:pPr>
              <w:pStyle w:val="10"/>
            </w:pPr>
            <w:r>
              <w:t>≥90%</w:t>
            </w:r>
          </w:p>
        </w:tc>
        <w:tc>
          <w:tcPr>
            <w:tcW w:w="1276" w:type="dxa"/>
            <w:vAlign w:val="center"/>
          </w:tcPr>
          <w:p>
            <w:pPr>
              <w:pStyle w:val="10"/>
            </w:pPr>
            <w:r>
              <w:t>工作经验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137唐山高新技术产业开发区人民法院</w:t>
            </w:r>
          </w:p>
        </w:tc>
        <w:tc>
          <w:tcPr>
            <w:tcW w:w="7710"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6" w:type="dxa"/>
            <w:gridSpan w:val="7"/>
            <w:vAlign w:val="center"/>
          </w:tcPr>
          <w:p>
            <w:pPr>
              <w:pStyle w:val="8"/>
            </w:pPr>
            <w:r>
              <w:t>政府采购金额（当年部门预算安排资金）</w:t>
            </w:r>
          </w:p>
        </w:tc>
        <w:tc>
          <w:tcPr>
            <w:tcW w:w="964" w:type="dxa"/>
            <w:vMerge w:val="restart"/>
            <w:vAlign w:val="center"/>
          </w:tcPr>
          <w:p>
            <w:pPr>
              <w:pStyle w:val="8"/>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唐山高新技术产业开发区人民法院（含所属单位）上年末固定资产金额为1559.44万元（详见下表）。本年度拟购置固定资产总额为0.00万元，已按要求列入政府采购预算，详见政府采购预算表。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137唐山高新技术产业开发区人民法院</w:t>
            </w:r>
          </w:p>
        </w:tc>
        <w:tc>
          <w:tcPr>
            <w:tcW w:w="5669" w:type="dxa"/>
            <w:gridSpan w:val="2"/>
            <w:tcBorders>
              <w:top w:val="single" w:color="FFFFFF" w:sz="6" w:space="0"/>
              <w:left w:val="single" w:color="FFFFFF" w:sz="6" w:space="0"/>
              <w:right w:val="single" w:color="FFFFFF" w:sz="6" w:space="0"/>
            </w:tcBorders>
            <w:vAlign w:val="center"/>
          </w:tcPr>
          <w:p>
            <w:pPr>
              <w:pStyle w:val="5"/>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1559.44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8</w:t>
            </w:r>
          </w:p>
        </w:tc>
        <w:tc>
          <w:tcPr>
            <w:tcW w:w="2835" w:type="dxa"/>
            <w:vAlign w:val="center"/>
          </w:tcPr>
          <w:p>
            <w:pPr>
              <w:pStyle w:val="9"/>
            </w:pPr>
            <w:r>
              <w:t>119.84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0"/>
            </w:pPr>
            <w:r>
              <w:t>4、其他固定资产</w:t>
            </w:r>
          </w:p>
        </w:tc>
        <w:tc>
          <w:tcPr>
            <w:tcW w:w="2835" w:type="dxa"/>
            <w:vAlign w:val="center"/>
          </w:tcPr>
          <w:p>
            <w:pPr>
              <w:pStyle w:val="11"/>
            </w:pPr>
            <w:r>
              <w:t>2475</w:t>
            </w:r>
          </w:p>
        </w:tc>
        <w:tc>
          <w:tcPr>
            <w:tcW w:w="2835" w:type="dxa"/>
            <w:vAlign w:val="center"/>
          </w:tcPr>
          <w:p>
            <w:pPr>
              <w:pStyle w:val="9"/>
            </w:pPr>
            <w:r>
              <w:t>1439.60</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roman"/>
    <w:pitch w:val="default"/>
    <w:sig w:usb0="00000001" w:usb1="080E0000" w:usb2="00000000" w:usb3="00000000" w:csb0="00040000" w:csb1="00000000"/>
  </w:font>
  <w:font w:name="方正书宋_GBK">
    <w:panose1 w:val="03000509000000000000"/>
    <w:charset w:val="86"/>
    <w:family w:val="roman"/>
    <w:pitch w:val="default"/>
    <w:sig w:usb0="00000001" w:usb1="080E0000" w:usb2="0000000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251480"/>
    <w:rsid w:val="00251480"/>
    <w:rsid w:val="0092662F"/>
    <w:rsid w:val="009F42AD"/>
    <w:rsid w:val="00D27593"/>
    <w:rsid w:val="644A6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2024-02-21T15:28:50Z</dcterms:created>
  <dcterms:modified xsi:type="dcterms:W3CDTF">2024-02-21T07:28:50Z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2024-02-21T15:28:50Z</dcterms:created>
  <dcterms:modified xsi:type="dcterms:W3CDTF">2024-02-21T07:28:50Z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2024-02-21T15:28:51Z</dcterms:created>
  <dcterms:modified xsi:type="dcterms:W3CDTF">2024-02-21T07:28:51Z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2024-02-21T15:28:49Z</dcterms:created>
  <dcterms:modified xsi:type="dcterms:W3CDTF">2024-02-21T07:28:49Z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2024-02-21T15:28:50Z</dcterms:created>
  <dcterms:modified xsi:type="dcterms:W3CDTF">2024-02-21T07:28:50Z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2024-02-21T15:28:50Z</dcterms:created>
  <dcterms:modified xsi:type="dcterms:W3CDTF">2024-02-21T07:28:50Z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C329FA2-2ED1-49EC-B090-280B730F4B76}">
  <ds:schemaRefs/>
</ds:datastoreItem>
</file>

<file path=customXml/itemProps11.xml><?xml version="1.0" encoding="utf-8"?>
<ds:datastoreItem xmlns:ds="http://schemas.openxmlformats.org/officeDocument/2006/customXml" ds:itemID="{5DFF327C-3CA6-4A6D-83FE-9A93272C0AFE}">
  <ds:schemaRefs/>
</ds:datastoreItem>
</file>

<file path=customXml/itemProps12.xml><?xml version="1.0" encoding="utf-8"?>
<ds:datastoreItem xmlns:ds="http://schemas.openxmlformats.org/officeDocument/2006/customXml" ds:itemID="{C76EB969-6D6D-4EA7-B04A-6A3A5A7110B5}">
  <ds:schemaRefs/>
</ds:datastoreItem>
</file>

<file path=customXml/itemProps13.xml><?xml version="1.0" encoding="utf-8"?>
<ds:datastoreItem xmlns:ds="http://schemas.openxmlformats.org/officeDocument/2006/customXml" ds:itemID="{4D27B1D8-54E3-44E3-95C7-6FCF950ECB59}">
  <ds:schemaRefs/>
</ds:datastoreItem>
</file>

<file path=customXml/itemProps2.xml><?xml version="1.0" encoding="utf-8"?>
<ds:datastoreItem xmlns:ds="http://schemas.openxmlformats.org/officeDocument/2006/customXml" ds:itemID="{913624B3-DE7A-4B72-88B8-BA932D11C2CE}">
  <ds:schemaRefs/>
</ds:datastoreItem>
</file>

<file path=customXml/itemProps3.xml><?xml version="1.0" encoding="utf-8"?>
<ds:datastoreItem xmlns:ds="http://schemas.openxmlformats.org/officeDocument/2006/customXml" ds:itemID="{22343C2E-F837-47DB-BB08-D4FCEC487DB6}">
  <ds:schemaRefs/>
</ds:datastoreItem>
</file>

<file path=customXml/itemProps4.xml><?xml version="1.0" encoding="utf-8"?>
<ds:datastoreItem xmlns:ds="http://schemas.openxmlformats.org/officeDocument/2006/customXml" ds:itemID="{C5EE272A-AF37-4A72-8E43-C257CECD85EF}">
  <ds:schemaRefs/>
</ds:datastoreItem>
</file>

<file path=customXml/itemProps5.xml><?xml version="1.0" encoding="utf-8"?>
<ds:datastoreItem xmlns:ds="http://schemas.openxmlformats.org/officeDocument/2006/customXml" ds:itemID="{EB6D2BC1-F8F7-4BC6-981F-0EF9CF5F461C}">
  <ds:schemaRefs/>
</ds:datastoreItem>
</file>

<file path=customXml/itemProps6.xml><?xml version="1.0" encoding="utf-8"?>
<ds:datastoreItem xmlns:ds="http://schemas.openxmlformats.org/officeDocument/2006/customXml" ds:itemID="{8C787E1D-233F-45AB-A49F-AF723EC4BE03}">
  <ds:schemaRefs/>
</ds:datastoreItem>
</file>

<file path=customXml/itemProps7.xml><?xml version="1.0" encoding="utf-8"?>
<ds:datastoreItem xmlns:ds="http://schemas.openxmlformats.org/officeDocument/2006/customXml" ds:itemID="{0635F8AF-6FE7-426F-8DA4-1594FADE7CB9}">
  <ds:schemaRefs/>
</ds:datastoreItem>
</file>

<file path=customXml/itemProps8.xml><?xml version="1.0" encoding="utf-8"?>
<ds:datastoreItem xmlns:ds="http://schemas.openxmlformats.org/officeDocument/2006/customXml" ds:itemID="{ECD8B1AE-A1D5-4814-BCE9-269C8A214DCD}">
  <ds:schemaRefs/>
</ds:datastoreItem>
</file>

<file path=customXml/itemProps9.xml><?xml version="1.0" encoding="utf-8"?>
<ds:datastoreItem xmlns:ds="http://schemas.openxmlformats.org/officeDocument/2006/customXml" ds:itemID="{E08A487B-30F3-41BB-BF9F-2FF7D69BA4BD}">
  <ds:schemaRefs/>
</ds:datastoreItem>
</file>

<file path=docProps/app.xml><?xml version="1.0" encoding="utf-8"?>
<Properties xmlns="http://schemas.openxmlformats.org/officeDocument/2006/extended-properties" xmlns:vt="http://schemas.openxmlformats.org/officeDocument/2006/docPropsVTypes">
  <Template>Normal</Template>
  <Pages>24</Pages>
  <Words>1561</Words>
  <Characters>8901</Characters>
  <Lines>74</Lines>
  <Paragraphs>20</Paragraphs>
  <TotalTime>1</TotalTime>
  <ScaleCrop>false</ScaleCrop>
  <LinksUpToDate>false</LinksUpToDate>
  <CharactersWithSpaces>10442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2024-02-22T02:19:00Z</dcterms:created>
  <dc:creator>Administrator</dc:creator>
  <cp:lastModifiedBy>Master</cp:lastModifiedBy>
  <dcterms:modified xsi:type="dcterms:W3CDTF">2024-02-26T08:24:25Z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